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Times New Roman" w:hAnsi="Times New Roman"/>
          <w:b/>
          <w:color w:val="000000"/>
          <w:sz w:val="36"/>
          <w:szCs w:val="36"/>
        </w:rPr>
      </w:pPr>
      <w:r>
        <w:rPr>
          <w:rFonts w:ascii="Times New Roman" w:hAnsi="Times New Roman"/>
          <w:b/>
          <w:color w:val="000000"/>
          <w:sz w:val="36"/>
          <w:szCs w:val="36"/>
        </w:rPr>
        <w:t>《</w:t>
      </w:r>
      <w:r>
        <w:rPr>
          <w:rFonts w:hint="eastAsia" w:ascii="Times New Roman" w:hAnsi="Times New Roman"/>
          <w:b/>
          <w:color w:val="000000"/>
          <w:sz w:val="36"/>
          <w:szCs w:val="36"/>
        </w:rPr>
        <w:t>食品容器用螺纹旋开盖》行业标准编制说明</w:t>
      </w:r>
    </w:p>
    <w:p>
      <w:pPr>
        <w:spacing w:line="300" w:lineRule="auto"/>
        <w:jc w:val="center"/>
        <w:rPr>
          <w:color w:val="000000"/>
          <w:sz w:val="28"/>
        </w:rPr>
      </w:pPr>
      <w:r>
        <w:rPr>
          <w:color w:val="000000"/>
          <w:sz w:val="28"/>
        </w:rPr>
        <w:t>（</w:t>
      </w:r>
      <w:r>
        <w:rPr>
          <w:rFonts w:hint="eastAsia"/>
          <w:color w:val="000000"/>
          <w:sz w:val="28"/>
        </w:rPr>
        <w:t>征求意见稿</w:t>
      </w:r>
      <w:r>
        <w:rPr>
          <w:color w:val="000000"/>
          <w:sz w:val="28"/>
        </w:rPr>
        <w:t>）</w:t>
      </w:r>
    </w:p>
    <w:p>
      <w:pPr>
        <w:spacing w:line="300" w:lineRule="auto"/>
        <w:jc w:val="center"/>
        <w:rPr>
          <w:sz w:val="24"/>
        </w:rPr>
      </w:pPr>
      <w:r>
        <w:rPr>
          <w:sz w:val="24"/>
        </w:rPr>
        <w:t>标准起草工作组 2021</w:t>
      </w:r>
      <w:r>
        <w:rPr>
          <w:rFonts w:hint="eastAsia"/>
          <w:sz w:val="24"/>
        </w:rPr>
        <w:t>-</w:t>
      </w:r>
      <w:r>
        <w:rPr>
          <w:sz w:val="24"/>
        </w:rPr>
        <w:t>09</w:t>
      </w:r>
    </w:p>
    <w:p>
      <w:pPr>
        <w:pStyle w:val="7"/>
        <w:numPr>
          <w:ilvl w:val="0"/>
          <w:numId w:val="3"/>
        </w:numPr>
        <w:ind w:firstLineChars="0"/>
        <w:rPr>
          <w:rFonts w:ascii="Times New Roman" w:hAnsi="Times New Roman" w:eastAsia="华文仿宋"/>
          <w:b/>
          <w:sz w:val="28"/>
        </w:rPr>
      </w:pPr>
      <w:r>
        <w:rPr>
          <w:rFonts w:hint="eastAsia" w:ascii="Times New Roman" w:hAnsi="Times New Roman" w:eastAsia="华文仿宋"/>
          <w:b/>
          <w:sz w:val="28"/>
        </w:rPr>
        <w:t>工作概况</w:t>
      </w:r>
    </w:p>
    <w:p>
      <w:pPr>
        <w:spacing w:line="360" w:lineRule="auto"/>
        <w:rPr>
          <w:b/>
          <w:color w:val="000000"/>
          <w:sz w:val="24"/>
          <w:szCs w:val="24"/>
        </w:rPr>
      </w:pPr>
      <w:bookmarkStart w:id="0" w:name="OLE_LINK35"/>
      <w:bookmarkStart w:id="1" w:name="OLE_LINK116"/>
      <w:bookmarkStart w:id="2" w:name="OLE_LINK117"/>
      <w:bookmarkStart w:id="3" w:name="OLE_LINK36"/>
      <w:r>
        <w:rPr>
          <w:b/>
          <w:color w:val="000000"/>
          <w:sz w:val="24"/>
          <w:szCs w:val="24"/>
        </w:rPr>
        <w:t>1</w:t>
      </w:r>
      <w:bookmarkStart w:id="4" w:name="OLE_LINK121"/>
      <w:bookmarkStart w:id="5" w:name="OLE_LINK120"/>
      <w:r>
        <w:rPr>
          <w:b/>
          <w:color w:val="000000"/>
          <w:sz w:val="24"/>
          <w:szCs w:val="24"/>
        </w:rPr>
        <w:t>、任务来源</w:t>
      </w:r>
      <w:bookmarkEnd w:id="0"/>
      <w:bookmarkEnd w:id="1"/>
      <w:bookmarkEnd w:id="2"/>
      <w:bookmarkEnd w:id="3"/>
      <w:bookmarkEnd w:id="4"/>
      <w:bookmarkEnd w:id="5"/>
      <w:bookmarkStart w:id="6" w:name="OLE_LINK19"/>
      <w:bookmarkStart w:id="7" w:name="OLE_LINK18"/>
      <w:bookmarkStart w:id="8" w:name="OLE_LINK123"/>
      <w:bookmarkStart w:id="9" w:name="OLE_LINK122"/>
    </w:p>
    <w:p>
      <w:pPr>
        <w:spacing w:line="360" w:lineRule="auto"/>
        <w:ind w:firstLine="480" w:firstLineChars="200"/>
        <w:rPr>
          <w:rFonts w:ascii="Times New Roman" w:hAnsi="Times New Roman"/>
          <w:b/>
          <w:color w:val="000000"/>
          <w:sz w:val="28"/>
          <w:szCs w:val="28"/>
        </w:rPr>
      </w:pPr>
      <w:r>
        <w:rPr>
          <w:rFonts w:ascii="Times New Roman" w:hAnsi="Times New Roman"/>
          <w:color w:val="000000" w:themeColor="text1"/>
          <w:sz w:val="24"/>
          <w14:textFill>
            <w14:solidFill>
              <w14:schemeClr w14:val="tx1"/>
            </w14:solidFill>
          </w14:textFill>
        </w:rPr>
        <w:t>本项目是根据工业和信息化部第二批行业标准制修订计划（工信厅科函〔2019〕195号），计划编号</w:t>
      </w:r>
      <w:r>
        <w:rPr>
          <w:rFonts w:ascii="Times New Roman" w:hAnsi="Times New Roman"/>
          <w:color w:val="000000" w:themeColor="text1"/>
          <w:sz w:val="24"/>
          <w:szCs w:val="24"/>
          <w14:textFill>
            <w14:solidFill>
              <w14:schemeClr w14:val="tx1"/>
            </w14:solidFill>
          </w14:textFill>
        </w:rPr>
        <w:t>为</w:t>
      </w:r>
      <w:r>
        <w:rPr>
          <w:rFonts w:ascii="Times New Roman" w:hAnsi="Times New Roman"/>
          <w:sz w:val="24"/>
          <w:szCs w:val="24"/>
        </w:rPr>
        <w:t>：2019-0709T-QB</w:t>
      </w:r>
      <w:r>
        <w:rPr>
          <w:rFonts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14:textFill>
            <w14:solidFill>
              <w14:schemeClr w14:val="tx1"/>
            </w14:solidFill>
          </w14:textFill>
        </w:rPr>
        <w:t>项目名称</w:t>
      </w:r>
      <w:r>
        <w:rPr>
          <w:rFonts w:hint="eastAsia" w:ascii="Times New Roman" w:hAnsi="Times New Roman"/>
          <w:sz w:val="24"/>
        </w:rPr>
        <w:t>“</w:t>
      </w:r>
      <w:r>
        <w:rPr>
          <w:rFonts w:ascii="Times New Roman" w:hAnsi="Times New Roman"/>
          <w:sz w:val="24"/>
        </w:rPr>
        <w:t>罐头食品容器用螺纹旋开盖</w:t>
      </w:r>
      <w:r>
        <w:rPr>
          <w:rFonts w:hint="eastAsia" w:ascii="Times New Roman" w:hAnsi="Times New Roman"/>
          <w:sz w:val="24"/>
        </w:rPr>
        <w:t>”</w:t>
      </w:r>
      <w:r>
        <w:rPr>
          <w:rFonts w:ascii="Times New Roman" w:hAnsi="Times New Roman"/>
          <w:color w:val="000000" w:themeColor="text1"/>
          <w:sz w:val="24"/>
          <w14:textFill>
            <w14:solidFill>
              <w14:schemeClr w14:val="tx1"/>
            </w14:solidFill>
          </w14:textFill>
        </w:rPr>
        <w:t>，</w:t>
      </w:r>
      <w:bookmarkEnd w:id="6"/>
      <w:bookmarkEnd w:id="7"/>
      <w:r>
        <w:rPr>
          <w:rFonts w:ascii="Times New Roman" w:hAnsi="Times New Roman"/>
          <w:color w:val="000000" w:themeColor="text1"/>
          <w:sz w:val="24"/>
          <w14:textFill>
            <w14:solidFill>
              <w14:schemeClr w14:val="tx1"/>
            </w14:solidFill>
          </w14:textFill>
        </w:rPr>
        <w:t>主要起草单位：苏州华源控股股份有限公司、义</w:t>
      </w:r>
      <w:r>
        <w:rPr>
          <w:rFonts w:hint="eastAsia" w:ascii="Times New Roman" w:hAnsi="Times New Roman"/>
          <w:color w:val="000000" w:themeColor="text1"/>
          <w:sz w:val="24"/>
          <w14:textFill>
            <w14:solidFill>
              <w14:schemeClr w14:val="tx1"/>
            </w14:solidFill>
          </w14:textFill>
        </w:rPr>
        <w:t>乌</w:t>
      </w:r>
      <w:r>
        <w:rPr>
          <w:rFonts w:ascii="Times New Roman" w:hAnsi="Times New Roman"/>
          <w:color w:val="000000" w:themeColor="text1"/>
          <w:sz w:val="24"/>
          <w14:textFill>
            <w14:solidFill>
              <w14:schemeClr w14:val="tx1"/>
            </w14:solidFill>
          </w14:textFill>
        </w:rPr>
        <w:t>易开盖实业公司、中国食品发酵工业研究院等，计划应完成时间2021年。</w:t>
      </w:r>
    </w:p>
    <w:bookmarkEnd w:id="8"/>
    <w:bookmarkEnd w:id="9"/>
    <w:p>
      <w:pPr>
        <w:spacing w:line="360" w:lineRule="auto"/>
        <w:rPr>
          <w:b/>
          <w:color w:val="000000"/>
          <w:sz w:val="24"/>
          <w:szCs w:val="24"/>
        </w:rPr>
      </w:pPr>
      <w:r>
        <w:rPr>
          <w:b/>
          <w:color w:val="000000"/>
          <w:sz w:val="24"/>
          <w:szCs w:val="24"/>
        </w:rPr>
        <w:t>2、主要工作过程</w:t>
      </w:r>
      <w:bookmarkStart w:id="10" w:name="OLE_LINK118"/>
      <w:bookmarkStart w:id="11" w:name="OLE_LINK119"/>
    </w:p>
    <w:bookmarkEnd w:id="10"/>
    <w:bookmarkEnd w:id="11"/>
    <w:p>
      <w:pPr>
        <w:spacing w:line="360" w:lineRule="auto"/>
        <w:rPr>
          <w:b/>
          <w:color w:val="000000"/>
          <w:sz w:val="24"/>
          <w:szCs w:val="24"/>
        </w:rPr>
      </w:pPr>
      <w:r>
        <w:rPr>
          <w:rFonts w:hint="eastAsia"/>
          <w:b/>
          <w:color w:val="000000"/>
          <w:sz w:val="24"/>
          <w:szCs w:val="24"/>
        </w:rPr>
        <w:t>（1）预研阶段</w:t>
      </w:r>
    </w:p>
    <w:p>
      <w:pPr>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根据行业标准制修订工作要求，起草组首先对食品容器用螺纹旋开盖国内外市场现状及相关标准现状进行了分析。</w:t>
      </w:r>
    </w:p>
    <w:p>
      <w:pPr>
        <w:pStyle w:val="10"/>
        <w:numPr>
          <w:ilvl w:val="0"/>
          <w:numId w:val="4"/>
        </w:numPr>
        <w:spacing w:line="360" w:lineRule="auto"/>
        <w:ind w:firstLine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国内外市场现状分析</w:t>
      </w:r>
    </w:p>
    <w:p>
      <w:pPr>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国内螺纹旋开盖的起步相比国外较晚，据不完全统计，我国与发达国家之间还存在差距，罐头食品消费水平相对偏低，人均用量与发达国家相比更是甚小，从人均金属罐消费量分析，我国的罐头消费发展空间巨大。随着我国经济的不断发展与社会主要矛盾的变化，各类中高端食品包装的需求也在日益增加，其中就包括占比很大的螺纹旋开盖。大部分食品加工厂、保健品厂为了提升其产品的质量，从其他包装形式例如塑料袋包装、纸盒包装、塑料包装逐渐升级为高端的玻璃瓶配螺纹旋开盖包装形式。</w:t>
      </w:r>
    </w:p>
    <w:p>
      <w:pPr>
        <w:pStyle w:val="10"/>
        <w:numPr>
          <w:ilvl w:val="0"/>
          <w:numId w:val="4"/>
        </w:numPr>
        <w:spacing w:line="360" w:lineRule="auto"/>
        <w:ind w:firstLine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国内外相关标准现状分析</w:t>
      </w:r>
    </w:p>
    <w:p>
      <w:pPr>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（1）国内情况：螺纹旋开盖分为一体式螺纹旋开盖和内片外圈分离式螺纹旋开盖。查阅相关标准，目前尚没有相对应的国家标准或行业标准，现有的GB/T 29335</w:t>
      </w:r>
      <w:r>
        <w:rPr>
          <w:rFonts w:ascii="Times New Roman" w:hAnsi="Times New Roman"/>
          <w:color w:val="000000" w:themeColor="text1"/>
          <w:sz w:val="24"/>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《爪式旋开盖》国家标准中缺乏对食品用螺纹旋开旋盖的相关要求与说明，包括螺纹旋开盖的品种、型号及相关的性能、检测方法等内容。</w:t>
      </w:r>
    </w:p>
    <w:p>
      <w:pPr>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（2）国际情况：关于国际方面，目前暂未搜索到ISO有关螺纹旋开盖的相关标准。相关的盖型及参数参考美国Silgan，日本NCC，法国Massilly等公司。</w:t>
      </w:r>
    </w:p>
    <w:p>
      <w:pPr>
        <w:spacing w:line="360" w:lineRule="auto"/>
        <w:rPr>
          <w:b/>
          <w:color w:val="000000"/>
          <w:sz w:val="24"/>
          <w:szCs w:val="24"/>
        </w:rPr>
      </w:pPr>
      <w:r>
        <w:rPr>
          <w:rFonts w:hint="eastAsia"/>
          <w:b/>
          <w:color w:val="000000"/>
          <w:sz w:val="24"/>
          <w:szCs w:val="24"/>
        </w:rPr>
        <w:t>（2）起草（草案、论证）阶段</w:t>
      </w:r>
    </w:p>
    <w:p>
      <w:pPr>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2019年10月，项目发布后，罐头分技术委员会秘书处开始筹建标准起草工作组，并进行了行业情况调研。2020年4月，牵头单位及秘书处组织召开</w:t>
      </w:r>
      <w:r>
        <w:rPr>
          <w:rFonts w:hint="eastAsia" w:ascii="Times New Roman" w:hAnsi="Times New Roman"/>
          <w:sz w:val="24"/>
        </w:rPr>
        <w:t>《罐头食品容器用螺纹旋开盖》行业标</w:t>
      </w:r>
      <w:r>
        <w:rPr>
          <w:rFonts w:hint="eastAsia" w:ascii="Times New Roman" w:hAnsi="Times New Roman"/>
          <w:color w:val="000000" w:themeColor="text1"/>
          <w:sz w:val="24"/>
          <w14:textFill>
            <w14:solidFill>
              <w14:schemeClr w14:val="tx1"/>
            </w14:solidFill>
          </w14:textFill>
        </w:rPr>
        <w:t>准第一次起草工作网络会议，会议就标准适用范围、制标难点以及工作分工进行了讨论，并初步形成标准制定工作方案：样品收集、基础数据测定、草案编写。同时，起草组一致通过将标准名称改为“食品容器用螺纹旋开盖”。</w:t>
      </w:r>
    </w:p>
    <w:p>
      <w:pPr>
        <w:spacing w:line="360" w:lineRule="auto"/>
        <w:rPr>
          <w:b/>
          <w:color w:val="000000"/>
          <w:sz w:val="24"/>
          <w:szCs w:val="24"/>
        </w:rPr>
      </w:pPr>
      <w:r>
        <w:rPr>
          <w:rFonts w:hint="eastAsia"/>
          <w:b/>
          <w:color w:val="000000"/>
          <w:sz w:val="24"/>
          <w:szCs w:val="24"/>
        </w:rPr>
        <w:t>（3）征求意见阶段</w:t>
      </w:r>
    </w:p>
    <w:p>
      <w:pPr>
        <w:spacing w:line="360" w:lineRule="auto"/>
        <w:ind w:firstLine="480" w:firstLineChars="200"/>
        <w:rPr>
          <w:sz w:val="24"/>
        </w:rPr>
      </w:pPr>
      <w:r>
        <w:rPr>
          <w:sz w:val="24"/>
        </w:rPr>
        <w:t>经标委会秘书处同意，XXXX年XX月XX日，发送到行业向有关单位广泛征求意见。截止XXXX年XX月XX日，共发函XX个单位，并在全国食品发酵标准化中心网站开展网络征求意见。收到XX个单位回函，其中XX个单位提出了XX条意见或建议，采纳XX</w:t>
      </w:r>
      <w:r>
        <w:rPr>
          <w:rFonts w:hint="eastAsia"/>
          <w:sz w:val="24"/>
        </w:rPr>
        <w:t>条，不采纳</w:t>
      </w:r>
      <w:r>
        <w:rPr>
          <w:sz w:val="24"/>
        </w:rPr>
        <w:t>XX</w:t>
      </w:r>
      <w:r>
        <w:rPr>
          <w:rFonts w:hint="eastAsia"/>
          <w:sz w:val="24"/>
        </w:rPr>
        <w:t>条，部分采纳</w:t>
      </w:r>
      <w:r>
        <w:rPr>
          <w:sz w:val="24"/>
        </w:rPr>
        <w:t>XX</w:t>
      </w:r>
      <w:r>
        <w:rPr>
          <w:rFonts w:hint="eastAsia"/>
          <w:sz w:val="24"/>
        </w:rPr>
        <w:t>条</w:t>
      </w:r>
      <w:r>
        <w:rPr>
          <w:sz w:val="24"/>
        </w:rPr>
        <w:t>。</w:t>
      </w:r>
    </w:p>
    <w:p>
      <w:pPr>
        <w:spacing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）审查阶段</w:t>
      </w:r>
    </w:p>
    <w:p>
      <w:pPr>
        <w:spacing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）报批阶段</w:t>
      </w:r>
    </w:p>
    <w:p>
      <w:pPr>
        <w:spacing w:line="360" w:lineRule="auto"/>
        <w:rPr>
          <w:b/>
          <w:color w:val="000000"/>
          <w:sz w:val="24"/>
        </w:rPr>
      </w:pPr>
      <w:r>
        <w:rPr>
          <w:b/>
          <w:color w:val="000000"/>
          <w:sz w:val="24"/>
        </w:rPr>
        <w:t>3、主要参加单位和工作组成员及其所作的工作等</w:t>
      </w:r>
    </w:p>
    <w:p>
      <w:pPr>
        <w:spacing w:line="360" w:lineRule="auto"/>
        <w:ind w:firstLine="480"/>
        <w:rPr>
          <w:color w:val="000000"/>
          <w:sz w:val="24"/>
        </w:rPr>
      </w:pPr>
      <w:r>
        <w:rPr>
          <w:color w:val="000000"/>
          <w:sz w:val="24"/>
        </w:rPr>
        <w:t>本标准主要单位成员包括</w:t>
      </w:r>
      <w:r>
        <w:rPr>
          <w:rFonts w:hint="eastAsia"/>
          <w:color w:val="000000" w:themeColor="text1"/>
          <w:sz w:val="24"/>
          <w14:textFill>
            <w14:solidFill>
              <w14:schemeClr w14:val="tx1"/>
            </w14:solidFill>
          </w14:textFill>
        </w:rPr>
        <w:t>X</w:t>
      </w:r>
      <w:r>
        <w:rPr>
          <w:color w:val="000000" w:themeColor="text1"/>
          <w:sz w:val="24"/>
          <w14:textFill>
            <w14:solidFill>
              <w14:schemeClr w14:val="tx1"/>
            </w14:solidFill>
          </w14:textFill>
        </w:rPr>
        <w:t>XX</w:t>
      </w:r>
      <w:r>
        <w:rPr>
          <w:color w:val="000000"/>
          <w:sz w:val="24"/>
        </w:rPr>
        <w:t>。</w: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主要成员： </w:t>
      </w:r>
    </w:p>
    <w:p>
      <w:pPr>
        <w:spacing w:line="360" w:lineRule="auto"/>
        <w:ind w:firstLine="480"/>
        <w:rPr>
          <w:color w:val="000000" w:themeColor="text1"/>
          <w:sz w:val="24"/>
          <w14:textFill>
            <w14:solidFill>
              <w14:schemeClr w14:val="tx1"/>
            </w14:solidFill>
          </w14:textFill>
        </w:rPr>
      </w:pPr>
      <w:bookmarkStart w:id="12" w:name="OLE_LINK9"/>
      <w:bookmarkStart w:id="13" w:name="OLE_LINK12"/>
      <w:r>
        <w:rPr>
          <w:color w:val="000000" w:themeColor="text1"/>
          <w:sz w:val="24"/>
          <w14:textFill>
            <w14:solidFill>
              <w14:schemeClr w14:val="tx1"/>
            </w14:solidFill>
          </w14:textFill>
        </w:rPr>
        <w:t>所做的工作：XXX为组员负责收集、分析国内外相关技术文献和资料</w:t>
      </w:r>
      <w:bookmarkEnd w:id="12"/>
      <w:bookmarkEnd w:id="13"/>
      <w:r>
        <w:rPr>
          <w:color w:val="000000" w:themeColor="text1"/>
          <w:sz w:val="24"/>
          <w14:textFill>
            <w14:solidFill>
              <w14:schemeClr w14:val="tx1"/>
            </w14:solidFill>
          </w14:textFill>
        </w:rPr>
        <w:t>，并对生产现状和发展情况进行了全面调研。XXX负责对各方面的意见及建议进行归纳、分析。XXX负责本标准其他材料的编制。</w:t>
      </w:r>
    </w:p>
    <w:p>
      <w:pPr>
        <w:pStyle w:val="7"/>
        <w:numPr>
          <w:ilvl w:val="0"/>
          <w:numId w:val="3"/>
        </w:numPr>
        <w:spacing w:line="360" w:lineRule="auto"/>
        <w:ind w:firstLineChars="0"/>
        <w:rPr>
          <w:rFonts w:ascii="Times New Roman" w:hAnsi="Times New Roman" w:eastAsia="华文仿宋"/>
          <w:b/>
          <w:sz w:val="28"/>
        </w:rPr>
      </w:pPr>
      <w:bookmarkStart w:id="14" w:name="OLE_LINK62"/>
      <w:bookmarkStart w:id="15" w:name="OLE_LINK61"/>
      <w:r>
        <w:rPr>
          <w:rFonts w:ascii="Times New Roman" w:hAnsi="Times New Roman" w:eastAsia="华文仿宋"/>
          <w:b/>
          <w:sz w:val="28"/>
        </w:rPr>
        <w:t>标准编制原则和主要内容</w:t>
      </w:r>
    </w:p>
    <w:bookmarkEnd w:id="14"/>
    <w:bookmarkEnd w:id="15"/>
    <w:p>
      <w:pPr>
        <w:pStyle w:val="10"/>
        <w:numPr>
          <w:ilvl w:val="0"/>
          <w:numId w:val="5"/>
        </w:numPr>
        <w:spacing w:line="360" w:lineRule="auto"/>
        <w:ind w:firstLineChars="0"/>
        <w:rPr>
          <w:b/>
          <w:color w:val="000000"/>
          <w:sz w:val="24"/>
        </w:rPr>
      </w:pPr>
      <w:r>
        <w:rPr>
          <w:rFonts w:hint="eastAsia"/>
          <w:b/>
          <w:color w:val="000000"/>
          <w:sz w:val="24"/>
        </w:rPr>
        <w:t>标准编制原则</w:t>
      </w:r>
    </w:p>
    <w:p>
      <w:pPr>
        <w:spacing w:line="360" w:lineRule="auto"/>
        <w:ind w:firstLine="480"/>
        <w:rPr>
          <w:color w:val="000000"/>
          <w:sz w:val="24"/>
        </w:rPr>
      </w:pPr>
      <w:r>
        <w:rPr>
          <w:rFonts w:hint="eastAsia"/>
          <w:color w:val="000000"/>
          <w:sz w:val="24"/>
        </w:rPr>
        <w:t>本标准的制定符合产业发展的原则，本着先进性、科学性、合理性和可操作性的原则以及标准的目标、统一性、协调性、适用性、一致性和规范性原则来进行本标准的制定工作。</w:t>
      </w:r>
    </w:p>
    <w:p>
      <w:pPr>
        <w:tabs>
          <w:tab w:val="left" w:pos="720"/>
        </w:tabs>
        <w:spacing w:line="360" w:lineRule="auto"/>
        <w:ind w:firstLine="480" w:firstLineChars="200"/>
        <w:rPr>
          <w:color w:val="000000"/>
          <w:sz w:val="24"/>
        </w:rPr>
      </w:pPr>
      <w:r>
        <w:rPr>
          <w:color w:val="000000"/>
          <w:sz w:val="24"/>
        </w:rPr>
        <w:t>本标准起草过程中，主要按GB/T 1.1-2020《标准化工作导则 第1部分：标准的结构和编写》和GB/T 1.2-2002《标准化工作导则 第2部分：标准中规范性技术要素内容的确定方法》进行编写。本标准</w:t>
      </w:r>
      <w:r>
        <w:rPr>
          <w:rFonts w:hint="eastAsia"/>
          <w:color w:val="000000"/>
          <w:sz w:val="24"/>
        </w:rPr>
        <w:t>制定</w:t>
      </w:r>
      <w:r>
        <w:rPr>
          <w:color w:val="000000"/>
          <w:sz w:val="24"/>
        </w:rPr>
        <w:t>过程中，主要参考了以下标准或文件：</w:t>
      </w:r>
    </w:p>
    <w:p>
      <w:pPr>
        <w:tabs>
          <w:tab w:val="left" w:pos="720"/>
        </w:tabs>
        <w:spacing w:line="360" w:lineRule="auto"/>
        <w:ind w:firstLine="480" w:firstLineChars="200"/>
        <w:rPr>
          <w:rFonts w:hint="eastAsia" w:ascii="Times New Roman" w:hAnsi="Times New Roman"/>
          <w:color w:val="000000"/>
          <w:sz w:val="24"/>
        </w:rPr>
      </w:pPr>
      <w:r>
        <w:rPr>
          <w:rFonts w:hint="eastAsia" w:ascii="Times New Roman" w:hAnsi="Times New Roman"/>
          <w:color w:val="000000"/>
          <w:sz w:val="24"/>
        </w:rPr>
        <w:t>GB/T</w:t>
      </w:r>
      <w:r>
        <w:rPr>
          <w:rFonts w:ascii="Times New Roman" w:hAnsi="Times New Roman"/>
          <w:color w:val="000000"/>
          <w:sz w:val="24"/>
        </w:rPr>
        <w:t xml:space="preserve"> </w:t>
      </w:r>
      <w:r>
        <w:rPr>
          <w:rFonts w:hint="eastAsia" w:ascii="Times New Roman" w:hAnsi="Times New Roman"/>
          <w:color w:val="000000"/>
          <w:sz w:val="24"/>
        </w:rPr>
        <w:t>191</w:t>
      </w:r>
      <w:r>
        <w:rPr>
          <w:rFonts w:ascii="Times New Roman" w:hAnsi="Times New Roman"/>
          <w:color w:val="000000"/>
          <w:sz w:val="24"/>
        </w:rPr>
        <w:t xml:space="preserve"> </w:t>
      </w:r>
      <w:r>
        <w:rPr>
          <w:rFonts w:hint="eastAsia" w:ascii="Times New Roman" w:hAnsi="Times New Roman"/>
          <w:color w:val="000000"/>
          <w:sz w:val="24"/>
        </w:rPr>
        <w:t>包装储运图示标志</w:t>
      </w:r>
    </w:p>
    <w:p>
      <w:pPr>
        <w:tabs>
          <w:tab w:val="left" w:pos="720"/>
        </w:tabs>
        <w:spacing w:line="360" w:lineRule="auto"/>
        <w:ind w:firstLine="480" w:firstLineChars="200"/>
        <w:rPr>
          <w:rFonts w:hint="eastAsia" w:ascii="Times New Roman" w:hAnsi="Times New Roman"/>
          <w:color w:val="000000"/>
          <w:sz w:val="24"/>
        </w:rPr>
      </w:pPr>
      <w:r>
        <w:rPr>
          <w:rFonts w:ascii="Times New Roman" w:hAnsi="Times New Roman"/>
          <w:color w:val="000000"/>
          <w:sz w:val="24"/>
        </w:rPr>
        <w:t>GB/T 2520</w:t>
      </w:r>
      <w:r>
        <w:rPr>
          <w:rFonts w:hint="eastAsia" w:ascii="Times New Roman" w:hAnsi="Times New Roman"/>
          <w:color w:val="000000"/>
          <w:sz w:val="24"/>
        </w:rPr>
        <w:t xml:space="preserve"> 冷轧电镀锡钢板及钢带</w:t>
      </w:r>
    </w:p>
    <w:p>
      <w:pPr>
        <w:tabs>
          <w:tab w:val="left" w:pos="720"/>
        </w:tabs>
        <w:spacing w:line="360" w:lineRule="auto"/>
        <w:ind w:firstLine="480" w:firstLineChars="200"/>
        <w:rPr>
          <w:rFonts w:ascii="Times New Roman" w:hAnsi="Times New Roman"/>
          <w:color w:val="000000"/>
          <w:sz w:val="24"/>
        </w:rPr>
      </w:pPr>
      <w:r>
        <w:rPr>
          <w:rFonts w:hint="eastAsia" w:ascii="Times New Roman" w:hAnsi="Times New Roman"/>
          <w:color w:val="000000"/>
          <w:sz w:val="24"/>
        </w:rPr>
        <w:t>GB/T 2763 食品容器中涂覆镀锡或镀铬薄钢板</w:t>
      </w:r>
    </w:p>
    <w:p>
      <w:pPr>
        <w:tabs>
          <w:tab w:val="left" w:pos="720"/>
        </w:tabs>
        <w:spacing w:line="360" w:lineRule="auto"/>
        <w:ind w:firstLine="480" w:firstLineChars="200"/>
        <w:rPr>
          <w:rFonts w:hint="eastAsia" w:ascii="Times New Roman" w:hAnsi="Times New Roman"/>
          <w:color w:val="000000"/>
          <w:sz w:val="24"/>
        </w:rPr>
      </w:pPr>
      <w:r>
        <w:rPr>
          <w:rFonts w:hint="eastAsia" w:ascii="Times New Roman" w:hAnsi="Times New Roman"/>
          <w:color w:val="000000"/>
          <w:sz w:val="24"/>
        </w:rPr>
        <w:t>GB/T 2828.1 计数抽样检验程序 第1部分：按接收质量限（AQL）检索的逐批检验抽样计划</w:t>
      </w:r>
    </w:p>
    <w:p>
      <w:pPr>
        <w:tabs>
          <w:tab w:val="left" w:pos="720"/>
        </w:tabs>
        <w:spacing w:line="360" w:lineRule="auto"/>
        <w:ind w:firstLine="480" w:firstLineChars="200"/>
        <w:rPr>
          <w:rFonts w:hint="eastAsia" w:ascii="Times New Roman" w:hAnsi="Times New Roman"/>
          <w:color w:val="000000"/>
          <w:sz w:val="24"/>
        </w:rPr>
      </w:pPr>
      <w:r>
        <w:rPr>
          <w:rFonts w:hint="eastAsia" w:ascii="Times New Roman" w:hAnsi="Times New Roman"/>
          <w:color w:val="000000"/>
          <w:sz w:val="24"/>
        </w:rPr>
        <w:t>GB/T 6682 分析实验室用水规格和试验方法</w:t>
      </w:r>
    </w:p>
    <w:p>
      <w:pPr>
        <w:tabs>
          <w:tab w:val="left" w:pos="720"/>
        </w:tabs>
        <w:spacing w:line="360" w:lineRule="auto"/>
        <w:ind w:firstLine="480" w:firstLineChars="200"/>
        <w:rPr>
          <w:rFonts w:hint="eastAsia" w:ascii="Times New Roman" w:hAnsi="Times New Roman"/>
          <w:color w:val="000000"/>
          <w:sz w:val="24"/>
        </w:rPr>
      </w:pPr>
      <w:r>
        <w:rPr>
          <w:rFonts w:ascii="Times New Roman" w:hAnsi="Times New Roman"/>
          <w:color w:val="000000"/>
          <w:sz w:val="24"/>
        </w:rPr>
        <w:t>GB/T 24180 冷轧电镀铬薄钢板及钢带</w:t>
      </w:r>
    </w:p>
    <w:p>
      <w:pPr>
        <w:tabs>
          <w:tab w:val="left" w:pos="720"/>
        </w:tabs>
        <w:spacing w:line="360" w:lineRule="auto"/>
        <w:ind w:firstLine="480" w:firstLineChars="200"/>
        <w:rPr>
          <w:rFonts w:hint="eastAsia" w:ascii="Times New Roman" w:hAnsi="Times New Roman"/>
          <w:color w:val="000000"/>
          <w:sz w:val="24"/>
        </w:rPr>
      </w:pPr>
      <w:r>
        <w:rPr>
          <w:rFonts w:hint="eastAsia" w:ascii="Times New Roman" w:hAnsi="Times New Roman"/>
          <w:color w:val="000000"/>
          <w:sz w:val="24"/>
        </w:rPr>
        <w:t>GB/T 29335 爪式旋开盖</w:t>
      </w:r>
    </w:p>
    <w:p>
      <w:pPr>
        <w:tabs>
          <w:tab w:val="left" w:pos="720"/>
        </w:tabs>
        <w:spacing w:line="360" w:lineRule="auto"/>
        <w:ind w:firstLine="480" w:firstLineChars="200"/>
        <w:rPr>
          <w:rFonts w:hint="eastAsia" w:ascii="Times New Roman" w:hAnsi="Times New Roman"/>
          <w:color w:val="000000"/>
          <w:sz w:val="24"/>
        </w:rPr>
      </w:pPr>
      <w:r>
        <w:rPr>
          <w:rFonts w:hint="eastAsia" w:ascii="Times New Roman" w:hAnsi="Times New Roman"/>
          <w:color w:val="000000"/>
          <w:sz w:val="24"/>
        </w:rPr>
        <w:t>QB/T 1877</w:t>
      </w:r>
      <w:r>
        <w:rPr>
          <w:rFonts w:ascii="Times New Roman" w:hAnsi="Times New Roman"/>
          <w:color w:val="000000"/>
          <w:sz w:val="24"/>
        </w:rPr>
        <w:t xml:space="preserve"> </w:t>
      </w:r>
      <w:r>
        <w:rPr>
          <w:rFonts w:hint="eastAsia" w:ascii="Times New Roman" w:hAnsi="Times New Roman"/>
          <w:color w:val="000000"/>
          <w:sz w:val="24"/>
        </w:rPr>
        <w:t>包装装潢镀锡(铬)薄钢板印刷品</w:t>
      </w:r>
    </w:p>
    <w:p>
      <w:pPr>
        <w:tabs>
          <w:tab w:val="left" w:pos="720"/>
        </w:tabs>
        <w:spacing w:line="360" w:lineRule="auto"/>
        <w:ind w:firstLine="480" w:firstLineChars="200"/>
        <w:rPr>
          <w:rFonts w:ascii="Times New Roman" w:hAnsi="Times New Roman"/>
          <w:color w:val="000000"/>
          <w:sz w:val="24"/>
        </w:rPr>
      </w:pPr>
      <w:r>
        <w:rPr>
          <w:rFonts w:hint="eastAsia" w:ascii="Times New Roman" w:hAnsi="Times New Roman"/>
          <w:color w:val="000000"/>
          <w:sz w:val="24"/>
        </w:rPr>
        <w:t>QB/T 4631 罐头食品包装、标志、运输和贮存</w:t>
      </w:r>
    </w:p>
    <w:p>
      <w:pPr>
        <w:pStyle w:val="10"/>
        <w:numPr>
          <w:ilvl w:val="0"/>
          <w:numId w:val="5"/>
        </w:numPr>
        <w:spacing w:line="360" w:lineRule="auto"/>
        <w:ind w:firstLineChars="0"/>
        <w:rPr>
          <w:b/>
          <w:sz w:val="24"/>
        </w:rPr>
      </w:pPr>
      <w:r>
        <w:rPr>
          <w:rFonts w:hint="eastAsia"/>
          <w:b/>
          <w:sz w:val="24"/>
        </w:rPr>
        <w:t>标准主要内容的论据</w:t>
      </w:r>
    </w:p>
    <w:p>
      <w:pPr>
        <w:spacing w:line="360" w:lineRule="auto"/>
        <w:rPr>
          <w:b/>
          <w:sz w:val="24"/>
        </w:rPr>
      </w:pPr>
      <w:r>
        <w:rPr>
          <w:rFonts w:hint="eastAsia"/>
          <w:b/>
          <w:sz w:val="24"/>
        </w:rPr>
        <w:t>2.1</w:t>
      </w:r>
      <w:r>
        <w:rPr>
          <w:b/>
          <w:sz w:val="24"/>
        </w:rPr>
        <w:t xml:space="preserve"> </w:t>
      </w:r>
      <w:r>
        <w:rPr>
          <w:rFonts w:hint="eastAsia"/>
          <w:b/>
          <w:sz w:val="24"/>
        </w:rPr>
        <w:t>技术依据</w:t>
      </w:r>
    </w:p>
    <w:p>
      <w:pPr>
        <w:tabs>
          <w:tab w:val="left" w:pos="720"/>
        </w:tabs>
        <w:spacing w:line="360" w:lineRule="auto"/>
        <w:ind w:firstLine="480" w:firstLineChars="200"/>
        <w:rPr>
          <w:sz w:val="24"/>
        </w:rPr>
      </w:pPr>
      <w:r>
        <w:rPr>
          <w:rFonts w:hint="eastAsia"/>
          <w:sz w:val="24"/>
        </w:rPr>
        <w:t>螺纹旋开盖和玻璃瓶口尺寸需精确配合，目前国内螺纹旋开盖瓶口规格尺寸也没有统一的标准，在不断发展过程中各厂家一直沿用之前的设计和制造经验。国际方面，目前暂未搜索到ISO有关螺纹旋开盖的相关标准。相关的盖型及参数参考美国Silgan，日本NCC，法国Massilly等公司。结合国内外多家厂商的盖型参数和适用性作为本标准的技术指标依据。同时参考国同内已经有的爪式旋开盖标准中与螺纹旋开盖能够通用的部分。</w:t>
      </w:r>
    </w:p>
    <w:p>
      <w:pPr>
        <w:pStyle w:val="10"/>
        <w:numPr>
          <w:ilvl w:val="1"/>
          <w:numId w:val="2"/>
        </w:numPr>
        <w:spacing w:line="360" w:lineRule="auto"/>
        <w:ind w:firstLineChars="0"/>
        <w:rPr>
          <w:b/>
          <w:sz w:val="24"/>
        </w:rPr>
      </w:pPr>
      <w:r>
        <w:rPr>
          <w:rFonts w:hint="eastAsia"/>
          <w:b/>
          <w:sz w:val="24"/>
        </w:rPr>
        <w:t>本标准范围及产品分类</w:t>
      </w:r>
    </w:p>
    <w:p>
      <w:pPr>
        <w:pStyle w:val="14"/>
        <w:numPr>
          <w:ilvl w:val="0"/>
          <w:numId w:val="0"/>
        </w:numPr>
        <w:spacing w:before="0" w:beforeLines="0" w:after="0" w:afterLines="0" w:line="360" w:lineRule="auto"/>
        <w:rPr>
          <w:rFonts w:ascii="Times New Roman" w:eastAsia="宋体"/>
        </w:rPr>
      </w:pPr>
      <w:r>
        <w:rPr>
          <w:rFonts w:ascii="Times New Roman" w:eastAsia="宋体"/>
        </w:rPr>
        <w:t>2.1.1根据螺纹旋开盖的结构可分为：</w:t>
      </w:r>
    </w:p>
    <w:p>
      <w:pPr>
        <w:pStyle w:val="14"/>
        <w:numPr>
          <w:ilvl w:val="0"/>
          <w:numId w:val="0"/>
        </w:numPr>
        <w:spacing w:before="0" w:beforeLines="0" w:after="0" w:afterLines="0" w:line="360" w:lineRule="auto"/>
        <w:rPr>
          <w:rFonts w:ascii="Times New Roman" w:eastAsia="宋体"/>
        </w:rPr>
      </w:pPr>
      <w:r>
        <w:rPr>
          <w:rFonts w:ascii="Times New Roman" w:eastAsia="宋体"/>
        </w:rPr>
        <w:t>2.1.1.1 一体式螺纹旋开盖：盖底面及盖侧面为一体的全螺纹旋开盖。</w:t>
      </w:r>
    </w:p>
    <w:p>
      <w:pPr>
        <w:pStyle w:val="14"/>
        <w:numPr>
          <w:ilvl w:val="0"/>
          <w:numId w:val="0"/>
        </w:numPr>
        <w:spacing w:before="0" w:beforeLines="0" w:after="0" w:afterLines="0" w:line="360" w:lineRule="auto"/>
        <w:rPr>
          <w:rFonts w:ascii="Times New Roman" w:eastAsia="宋体"/>
        </w:rPr>
      </w:pPr>
      <w:r>
        <w:rPr>
          <w:rFonts w:ascii="Times New Roman" w:eastAsia="宋体"/>
        </w:rPr>
        <w:t>2.1.1.2 内片外圈分离式螺纹旋开盖：盖底面与盖侧面相分离的全螺纹旋开盖，盖底面为可替换内片，盖侧面为外圈。</w:t>
      </w:r>
    </w:p>
    <w:p>
      <w:pPr>
        <w:pStyle w:val="14"/>
        <w:numPr>
          <w:ilvl w:val="0"/>
          <w:numId w:val="0"/>
        </w:numPr>
        <w:spacing w:before="0" w:beforeLines="0" w:after="0" w:afterLines="0" w:line="360" w:lineRule="auto"/>
        <w:rPr>
          <w:rFonts w:ascii="Times New Roman" w:eastAsia="宋体"/>
        </w:rPr>
      </w:pPr>
      <w:r>
        <w:rPr>
          <w:rFonts w:ascii="Times New Roman" w:eastAsia="宋体"/>
        </w:rPr>
        <w:t>2.1.2 根据是否含安全钮可分为：</w:t>
      </w:r>
      <w:bookmarkStart w:id="26" w:name="_GoBack"/>
      <w:bookmarkEnd w:id="26"/>
    </w:p>
    <w:p>
      <w:pPr>
        <w:pStyle w:val="14"/>
        <w:numPr>
          <w:ilvl w:val="0"/>
          <w:numId w:val="0"/>
        </w:numPr>
        <w:spacing w:before="0" w:beforeLines="0" w:after="0" w:afterLines="0" w:line="360" w:lineRule="auto"/>
        <w:rPr>
          <w:rFonts w:ascii="Times New Roman" w:eastAsia="宋体"/>
        </w:rPr>
      </w:pPr>
      <w:r>
        <w:rPr>
          <w:rFonts w:ascii="Times New Roman" w:eastAsia="宋体"/>
        </w:rPr>
        <w:t>2.1.2.1 常规型螺纹旋开盖：结构、尺寸都按常规要求的盖。</w:t>
      </w:r>
    </w:p>
    <w:p>
      <w:pPr>
        <w:pStyle w:val="14"/>
        <w:numPr>
          <w:ilvl w:val="0"/>
          <w:numId w:val="0"/>
        </w:numPr>
        <w:spacing w:before="0" w:beforeLines="0" w:after="0" w:afterLines="0" w:line="360" w:lineRule="auto"/>
        <w:rPr>
          <w:rFonts w:ascii="Times New Roman" w:eastAsia="宋体"/>
        </w:rPr>
      </w:pPr>
      <w:r>
        <w:rPr>
          <w:rFonts w:ascii="Times New Roman" w:eastAsia="宋体"/>
        </w:rPr>
        <w:t>2.1.2.2 安全钮型螺纹旋开盖：盖中央带有圆形真空安全突钮的盖。</w:t>
      </w:r>
    </w:p>
    <w:p>
      <w:pPr>
        <w:pStyle w:val="14"/>
        <w:numPr>
          <w:ilvl w:val="0"/>
          <w:numId w:val="0"/>
        </w:numPr>
        <w:spacing w:before="0" w:beforeLines="0" w:after="0" w:afterLines="0" w:line="360" w:lineRule="auto"/>
        <w:rPr>
          <w:rFonts w:ascii="Times New Roman" w:eastAsia="宋体"/>
        </w:rPr>
      </w:pPr>
      <w:r>
        <w:rPr>
          <w:rFonts w:ascii="Times New Roman" w:eastAsia="宋体"/>
        </w:rPr>
        <w:t>2.1.3 根据杀菌工艺不同可分为：</w:t>
      </w:r>
    </w:p>
    <w:p>
      <w:pPr>
        <w:pStyle w:val="13"/>
        <w:spacing w:before="0" w:beforeLines="0" w:after="0" w:afterLines="0" w:line="360" w:lineRule="auto"/>
        <w:rPr>
          <w:rFonts w:ascii="Times New Roman" w:eastAsia="宋体"/>
        </w:rPr>
      </w:pPr>
      <w:r>
        <w:rPr>
          <w:rFonts w:ascii="Times New Roman" w:eastAsia="宋体"/>
        </w:rPr>
        <w:t>2.1.3.1 加压杀菌螺纹旋开盖：适用于杀菌温度高于100℃的盖。</w:t>
      </w:r>
    </w:p>
    <w:p>
      <w:pPr>
        <w:pStyle w:val="13"/>
        <w:spacing w:before="0" w:beforeLines="0" w:after="0" w:afterLines="0" w:line="360" w:lineRule="auto"/>
        <w:rPr>
          <w:rFonts w:ascii="Times New Roman" w:eastAsia="宋体"/>
        </w:rPr>
      </w:pPr>
      <w:r>
        <w:rPr>
          <w:rFonts w:ascii="Times New Roman" w:eastAsia="宋体"/>
        </w:rPr>
        <w:t>2.1.3.2 常压杀菌螺纹旋开盖：适用于沸水杀菌的盖。</w:t>
      </w:r>
    </w:p>
    <w:p>
      <w:pPr>
        <w:pStyle w:val="13"/>
        <w:spacing w:before="0" w:beforeLines="0" w:after="0" w:afterLines="0" w:line="360" w:lineRule="auto"/>
        <w:rPr>
          <w:rFonts w:ascii="Times New Roman" w:eastAsia="宋体"/>
        </w:rPr>
      </w:pPr>
      <w:r>
        <w:rPr>
          <w:rFonts w:ascii="Times New Roman" w:eastAsia="宋体"/>
        </w:rPr>
        <w:t>2.1.3.3 热灌装螺纹旋开盖：适用于热灌装不杀菌的盖。</w:t>
      </w:r>
    </w:p>
    <w:p>
      <w:pPr>
        <w:spacing w:before="156" w:beforeLines="50" w:line="360" w:lineRule="auto"/>
        <w:rPr>
          <w:b/>
          <w:sz w:val="24"/>
        </w:rPr>
      </w:pPr>
      <w:r>
        <w:rPr>
          <w:rFonts w:hint="eastAsia"/>
          <w:b/>
          <w:sz w:val="24"/>
        </w:rPr>
        <w:t>2.3</w:t>
      </w:r>
      <w:r>
        <w:rPr>
          <w:b/>
          <w:sz w:val="24"/>
        </w:rPr>
        <w:t xml:space="preserve"> </w:t>
      </w:r>
      <w:r>
        <w:rPr>
          <w:rFonts w:hint="eastAsia"/>
          <w:b/>
          <w:sz w:val="24"/>
        </w:rPr>
        <w:t>原辅料要求</w:t>
      </w:r>
    </w:p>
    <w:p>
      <w:pPr>
        <w:pStyle w:val="14"/>
        <w:numPr>
          <w:ilvl w:val="0"/>
          <w:numId w:val="0"/>
        </w:numPr>
        <w:spacing w:before="0" w:beforeLines="0" w:after="0" w:afterLines="0" w:line="360" w:lineRule="auto"/>
        <w:rPr>
          <w:rFonts w:ascii="Times New Roman" w:eastAsia="宋体"/>
        </w:rPr>
      </w:pPr>
      <w:r>
        <w:rPr>
          <w:rFonts w:ascii="Times New Roman" w:eastAsia="宋体"/>
        </w:rPr>
        <w:t>2.3.1</w:t>
      </w:r>
      <w:r>
        <w:rPr>
          <w:rFonts w:hint="eastAsia" w:ascii="Times New Roman" w:eastAsia="宋体"/>
        </w:rPr>
        <w:t>　镀锡（铬）薄钢板</w:t>
      </w:r>
    </w:p>
    <w:p>
      <w:pPr>
        <w:pStyle w:val="14"/>
        <w:numPr>
          <w:ilvl w:val="0"/>
          <w:numId w:val="0"/>
        </w:numPr>
        <w:spacing w:before="0" w:beforeLines="0" w:after="0" w:afterLines="0" w:line="360" w:lineRule="auto"/>
        <w:rPr>
          <w:rFonts w:ascii="Times New Roman" w:eastAsia="宋体"/>
        </w:rPr>
      </w:pPr>
      <w:r>
        <w:rPr>
          <w:rFonts w:ascii="Times New Roman" w:eastAsia="宋体"/>
        </w:rPr>
        <w:t>2.3.1.1</w:t>
      </w:r>
      <w:r>
        <w:rPr>
          <w:rFonts w:hint="eastAsia" w:ascii="Times New Roman" w:eastAsia="宋体"/>
        </w:rPr>
        <w:t>　电镀锡薄钢板应符合GB/T 2520规定，电镀铬薄板应符合GB/T 24180规定。即经在线检查的、在正常贮存条件下适合整张印涂的电镀锡（或铬）薄钢板，且不得有下列缺陷：</w:t>
      </w:r>
    </w:p>
    <w:p>
      <w:pPr>
        <w:pStyle w:val="14"/>
        <w:numPr>
          <w:ilvl w:val="0"/>
          <w:numId w:val="0"/>
        </w:numPr>
        <w:spacing w:before="0" w:beforeLines="0" w:after="0" w:afterLines="0" w:line="360" w:lineRule="auto"/>
        <w:rPr>
          <w:rFonts w:ascii="Times New Roman" w:eastAsia="宋体"/>
        </w:rPr>
      </w:pPr>
      <w:r>
        <w:rPr>
          <w:rFonts w:hint="eastAsia" w:ascii="Times New Roman" w:eastAsia="宋体"/>
        </w:rPr>
        <w:t>a）</w:t>
      </w:r>
      <w:r>
        <w:rPr>
          <w:rFonts w:hint="eastAsia" w:ascii="Times New Roman" w:eastAsia="宋体"/>
        </w:rPr>
        <w:tab/>
      </w:r>
      <w:r>
        <w:rPr>
          <w:rFonts w:hint="eastAsia" w:ascii="Times New Roman" w:eastAsia="宋体"/>
        </w:rPr>
        <w:t>穿透钢板厚度的针孔；</w:t>
      </w:r>
    </w:p>
    <w:p>
      <w:pPr>
        <w:pStyle w:val="14"/>
        <w:numPr>
          <w:ilvl w:val="0"/>
          <w:numId w:val="0"/>
        </w:numPr>
        <w:spacing w:before="0" w:beforeLines="0" w:after="0" w:afterLines="0" w:line="360" w:lineRule="auto"/>
        <w:rPr>
          <w:rFonts w:ascii="Times New Roman" w:eastAsia="宋体"/>
        </w:rPr>
      </w:pPr>
      <w:r>
        <w:rPr>
          <w:rFonts w:hint="eastAsia" w:ascii="Times New Roman" w:eastAsia="宋体"/>
        </w:rPr>
        <w:t>b）</w:t>
      </w:r>
      <w:r>
        <w:rPr>
          <w:rFonts w:hint="eastAsia" w:ascii="Times New Roman" w:eastAsia="宋体"/>
        </w:rPr>
        <w:tab/>
      </w:r>
      <w:r>
        <w:rPr>
          <w:rFonts w:hint="eastAsia" w:ascii="Times New Roman" w:eastAsia="宋体"/>
        </w:rPr>
        <w:t>对使用有影响的伤痕、凹坑、折皱、锈迹等表面缺陷；</w:t>
      </w:r>
    </w:p>
    <w:p>
      <w:pPr>
        <w:pStyle w:val="14"/>
        <w:numPr>
          <w:ilvl w:val="0"/>
          <w:numId w:val="0"/>
        </w:numPr>
        <w:spacing w:before="0" w:beforeLines="0" w:after="0" w:afterLines="0" w:line="360" w:lineRule="auto"/>
        <w:rPr>
          <w:rFonts w:ascii="Times New Roman" w:eastAsia="宋体"/>
        </w:rPr>
      </w:pPr>
      <w:r>
        <w:rPr>
          <w:rFonts w:hint="eastAsia" w:ascii="Times New Roman" w:eastAsia="宋体"/>
        </w:rPr>
        <w:t>c）</w:t>
      </w:r>
      <w:r>
        <w:rPr>
          <w:rFonts w:hint="eastAsia" w:ascii="Times New Roman" w:eastAsia="宋体"/>
        </w:rPr>
        <w:tab/>
      </w:r>
      <w:r>
        <w:rPr>
          <w:rFonts w:hint="eastAsia" w:ascii="Times New Roman" w:eastAsia="宋体"/>
        </w:rPr>
        <w:t>对使用有影响的形状缺陷。</w:t>
      </w:r>
    </w:p>
    <w:p>
      <w:pPr>
        <w:pStyle w:val="14"/>
        <w:numPr>
          <w:ilvl w:val="0"/>
          <w:numId w:val="0"/>
        </w:numPr>
        <w:spacing w:before="0" w:beforeLines="0" w:after="0" w:afterLines="0" w:line="360" w:lineRule="auto"/>
        <w:rPr>
          <w:rFonts w:ascii="Times New Roman" w:eastAsia="宋体"/>
        </w:rPr>
      </w:pPr>
      <w:r>
        <w:rPr>
          <w:rFonts w:ascii="Times New Roman" w:eastAsia="宋体"/>
        </w:rPr>
        <w:t>2.3.1.2</w:t>
      </w:r>
      <w:r>
        <w:rPr>
          <w:rFonts w:hint="eastAsia" w:ascii="Times New Roman" w:eastAsia="宋体"/>
        </w:rPr>
        <w:t>　电镀锡（或铬）薄钢板的耐冲击性能，以及厚度、调质度及厚度和调质度的允许偏差，均应符合相关要求，带安全钮的螺纹旋开盖采用二次冷轧铁，相应的规格、参数及特殊质量要求应由供需双方商定。</w:t>
      </w:r>
    </w:p>
    <w:p>
      <w:pPr>
        <w:pStyle w:val="14"/>
        <w:numPr>
          <w:ilvl w:val="0"/>
          <w:numId w:val="0"/>
        </w:numPr>
        <w:spacing w:before="0" w:beforeLines="0" w:after="0" w:afterLines="0" w:line="360" w:lineRule="auto"/>
        <w:rPr>
          <w:rFonts w:ascii="Times New Roman" w:eastAsia="宋体"/>
        </w:rPr>
      </w:pPr>
      <w:r>
        <w:rPr>
          <w:rFonts w:ascii="Times New Roman" w:eastAsia="宋体"/>
        </w:rPr>
        <w:t>2.3.1.3</w:t>
      </w:r>
      <w:r>
        <w:rPr>
          <w:rFonts w:hint="eastAsia" w:ascii="Times New Roman" w:eastAsia="宋体"/>
        </w:rPr>
        <w:t>　采用电镀铬薄钢板层时，薄板的最小平均金属铬层质量应为50 mg/m2，最小平均水合氧化铬层应为5 mg/m2。</w:t>
      </w:r>
    </w:p>
    <w:p>
      <w:pPr>
        <w:pStyle w:val="14"/>
        <w:numPr>
          <w:ilvl w:val="0"/>
          <w:numId w:val="0"/>
        </w:numPr>
        <w:spacing w:before="0" w:beforeLines="0" w:after="0" w:afterLines="0" w:line="360" w:lineRule="auto"/>
        <w:rPr>
          <w:rFonts w:ascii="Times New Roman" w:eastAsia="宋体"/>
        </w:rPr>
      </w:pPr>
      <w:r>
        <w:rPr>
          <w:rFonts w:ascii="Times New Roman" w:eastAsia="宋体"/>
        </w:rPr>
        <w:t>2.3.2</w:t>
      </w:r>
      <w:r>
        <w:rPr>
          <w:rFonts w:hint="eastAsia" w:ascii="Times New Roman" w:eastAsia="宋体"/>
        </w:rPr>
        <w:t>　涂料</w:t>
      </w:r>
    </w:p>
    <w:p>
      <w:pPr>
        <w:pStyle w:val="14"/>
        <w:numPr>
          <w:ilvl w:val="0"/>
          <w:numId w:val="0"/>
        </w:numPr>
        <w:spacing w:before="0" w:beforeLines="0" w:after="0" w:afterLines="0" w:line="360" w:lineRule="auto"/>
        <w:rPr>
          <w:rFonts w:ascii="Times New Roman" w:eastAsia="宋体"/>
        </w:rPr>
      </w:pPr>
      <w:r>
        <w:rPr>
          <w:rFonts w:ascii="Times New Roman" w:eastAsia="宋体"/>
        </w:rPr>
        <w:t>2.3.2.1</w:t>
      </w:r>
      <w:r>
        <w:rPr>
          <w:rFonts w:hint="eastAsia" w:ascii="Times New Roman" w:eastAsia="宋体"/>
        </w:rPr>
        <w:t>　内壁涂料应能满足罐装内容物和加工成型对涂膜性能的要求，食品安全应符合GB 4806.10及相关规定的要求。</w:t>
      </w:r>
    </w:p>
    <w:p>
      <w:pPr>
        <w:pStyle w:val="14"/>
        <w:numPr>
          <w:ilvl w:val="0"/>
          <w:numId w:val="0"/>
        </w:numPr>
        <w:spacing w:before="0" w:beforeLines="0" w:after="0" w:afterLines="0" w:line="360" w:lineRule="auto"/>
        <w:rPr>
          <w:rFonts w:ascii="Times New Roman" w:eastAsia="宋体"/>
        </w:rPr>
      </w:pPr>
      <w:r>
        <w:rPr>
          <w:rFonts w:ascii="Times New Roman" w:eastAsia="宋体"/>
        </w:rPr>
        <w:t>2.3.2.2</w:t>
      </w:r>
      <w:r>
        <w:rPr>
          <w:rFonts w:hint="eastAsia" w:ascii="Times New Roman" w:eastAsia="宋体"/>
        </w:rPr>
        <w:t>　外壁涂料应选用耐高温烘烤、耐冲压、耐蒸煮的涂料，应符合相关标准或规定的要求。</w:t>
      </w:r>
    </w:p>
    <w:p>
      <w:pPr>
        <w:pStyle w:val="14"/>
        <w:numPr>
          <w:ilvl w:val="0"/>
          <w:numId w:val="0"/>
        </w:numPr>
        <w:spacing w:before="0" w:beforeLines="0" w:after="0" w:afterLines="0" w:line="360" w:lineRule="auto"/>
        <w:rPr>
          <w:rFonts w:ascii="Times New Roman" w:eastAsia="宋体"/>
        </w:rPr>
      </w:pPr>
      <w:r>
        <w:rPr>
          <w:rFonts w:ascii="Times New Roman" w:eastAsia="宋体"/>
        </w:rPr>
        <w:t>2.3.3</w:t>
      </w:r>
      <w:r>
        <w:rPr>
          <w:rFonts w:hint="eastAsia" w:ascii="Times New Roman" w:eastAsia="宋体"/>
        </w:rPr>
        <w:t>　密封垫圈</w:t>
      </w:r>
    </w:p>
    <w:p>
      <w:pPr>
        <w:pStyle w:val="14"/>
        <w:numPr>
          <w:ilvl w:val="0"/>
          <w:numId w:val="0"/>
        </w:numPr>
        <w:spacing w:before="0" w:beforeLines="0" w:after="0" w:afterLines="0" w:line="360" w:lineRule="auto"/>
        <w:rPr>
          <w:rFonts w:ascii="Times New Roman" w:eastAsia="宋体"/>
        </w:rPr>
      </w:pPr>
      <w:r>
        <w:rPr>
          <w:rFonts w:hint="eastAsia" w:ascii="Times New Roman" w:eastAsia="宋体"/>
        </w:rPr>
        <w:t>密封胶垫依据原材料体系可分为PVC类和非PVC类，其相应的注胶/加垫、成型工艺及应用技术不同。</w:t>
      </w:r>
    </w:p>
    <w:p>
      <w:pPr>
        <w:pStyle w:val="14"/>
        <w:numPr>
          <w:ilvl w:val="0"/>
          <w:numId w:val="0"/>
        </w:numPr>
        <w:spacing w:before="0" w:beforeLines="0" w:after="0" w:afterLines="0" w:line="360" w:lineRule="auto"/>
        <w:rPr>
          <w:rFonts w:ascii="Times New Roman" w:eastAsia="宋体"/>
        </w:rPr>
      </w:pPr>
      <w:r>
        <w:rPr>
          <w:rFonts w:hint="eastAsia" w:ascii="Times New Roman" w:eastAsia="宋体"/>
        </w:rPr>
        <w:t>密封胶垫类型应满足供需双方确认的杀菌工艺要求。</w:t>
      </w:r>
    </w:p>
    <w:p>
      <w:pPr>
        <w:pStyle w:val="14"/>
        <w:numPr>
          <w:ilvl w:val="0"/>
          <w:numId w:val="0"/>
        </w:numPr>
        <w:spacing w:before="0" w:beforeLines="0" w:after="0" w:afterLines="0" w:line="360" w:lineRule="auto"/>
        <w:rPr>
          <w:rFonts w:ascii="Times New Roman" w:eastAsia="宋体"/>
        </w:rPr>
      </w:pPr>
      <w:r>
        <w:rPr>
          <w:rFonts w:ascii="Times New Roman" w:eastAsia="宋体"/>
        </w:rPr>
        <w:t>2.3.4</w:t>
      </w:r>
      <w:r>
        <w:rPr>
          <w:rFonts w:hint="eastAsia" w:ascii="Times New Roman" w:eastAsia="宋体"/>
        </w:rPr>
        <w:t>　其它原辅材料</w:t>
      </w:r>
    </w:p>
    <w:p>
      <w:pPr>
        <w:pStyle w:val="14"/>
        <w:numPr>
          <w:ilvl w:val="0"/>
          <w:numId w:val="0"/>
        </w:numPr>
        <w:spacing w:before="0" w:beforeLines="0" w:after="0" w:afterLines="0" w:line="360" w:lineRule="auto"/>
        <w:rPr>
          <w:rFonts w:ascii="Times New Roman" w:eastAsia="宋体"/>
        </w:rPr>
      </w:pPr>
      <w:r>
        <w:rPr>
          <w:rFonts w:hint="eastAsia" w:ascii="Times New Roman" w:eastAsia="宋体"/>
        </w:rPr>
        <w:t>其它原辅材料应符合相应的国家相关要求及公告的规定。</w:t>
      </w:r>
    </w:p>
    <w:p>
      <w:pPr>
        <w:pStyle w:val="10"/>
        <w:numPr>
          <w:ilvl w:val="1"/>
          <w:numId w:val="2"/>
        </w:numPr>
        <w:spacing w:line="360" w:lineRule="auto"/>
        <w:ind w:firstLineChars="0"/>
        <w:rPr>
          <w:b/>
          <w:sz w:val="24"/>
        </w:rPr>
      </w:pPr>
      <w:r>
        <w:rPr>
          <w:rFonts w:hint="eastAsia"/>
          <w:b/>
          <w:sz w:val="24"/>
        </w:rPr>
        <w:t>尺寸要求</w:t>
      </w:r>
    </w:p>
    <w:p>
      <w:pPr>
        <w:pStyle w:val="14"/>
        <w:numPr>
          <w:ilvl w:val="0"/>
          <w:numId w:val="0"/>
        </w:numPr>
        <w:spacing w:before="0" w:beforeLines="0" w:after="0" w:afterLines="0" w:line="360" w:lineRule="auto"/>
        <w:rPr>
          <w:rFonts w:ascii="Times New Roman" w:eastAsia="宋体"/>
        </w:rPr>
      </w:pPr>
      <w:r>
        <w:rPr>
          <w:rFonts w:ascii="Times New Roman" w:eastAsia="宋体"/>
        </w:rPr>
        <w:t xml:space="preserve">产品尺寸要求应符合表1的规定。  </w:t>
      </w:r>
    </w:p>
    <w:p>
      <w:pPr>
        <w:pStyle w:val="15"/>
        <w:numPr>
          <w:ilvl w:val="0"/>
          <w:numId w:val="0"/>
        </w:numPr>
        <w:spacing w:before="156" w:beforeLines="50" w:after="156" w:afterLines="50"/>
        <w:ind w:left="360"/>
        <w:rPr>
          <w:szCs w:val="21"/>
        </w:rPr>
      </w:pPr>
      <w:r>
        <w:rPr>
          <w:rFonts w:hint="eastAsia"/>
        </w:rPr>
        <w:t xml:space="preserve">                         </w:t>
      </w:r>
      <w:r>
        <w:rPr>
          <w:rFonts w:ascii="Times New Roman"/>
          <w:szCs w:val="21"/>
        </w:rPr>
        <w:t xml:space="preserve">表1 螺纹旋开盖规格及尺寸 </w:t>
      </w:r>
      <w:r>
        <w:rPr>
          <w:rFonts w:hint="eastAsia"/>
          <w:szCs w:val="21"/>
        </w:rPr>
        <w:t xml:space="preserve"> </w:t>
      </w:r>
      <w:r>
        <w:rPr>
          <w:rFonts w:hint="eastAsia"/>
          <w:sz w:val="18"/>
          <w:szCs w:val="18"/>
        </w:rPr>
        <w:t xml:space="preserve">                  </w:t>
      </w:r>
      <w:r>
        <w:rPr>
          <w:rFonts w:hint="eastAsia"/>
          <w:szCs w:val="21"/>
        </w:rPr>
        <w:t>单位：mm</w:t>
      </w:r>
    </w:p>
    <w:tbl>
      <w:tblPr>
        <w:tblStyle w:val="4"/>
        <w:tblW w:w="10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020"/>
        <w:gridCol w:w="708"/>
        <w:gridCol w:w="1077"/>
        <w:gridCol w:w="645"/>
        <w:gridCol w:w="960"/>
        <w:gridCol w:w="750"/>
        <w:gridCol w:w="645"/>
        <w:gridCol w:w="600"/>
        <w:gridCol w:w="630"/>
        <w:gridCol w:w="675"/>
        <w:gridCol w:w="95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60" w:type="dxa"/>
            <w:vMerge w:val="restart"/>
            <w:vAlign w:val="center"/>
          </w:tcPr>
          <w:p>
            <w:pPr>
              <w:snapToGrid w:val="0"/>
              <w:jc w:val="center"/>
              <w:rPr>
                <w:b/>
                <w:sz w:val="18"/>
                <w:szCs w:val="18"/>
              </w:rPr>
            </w:pPr>
            <w:r>
              <w:rPr>
                <w:b/>
                <w:sz w:val="18"/>
                <w:szCs w:val="18"/>
              </w:rPr>
              <w:t>规格</w:t>
            </w:r>
          </w:p>
        </w:tc>
        <w:tc>
          <w:tcPr>
            <w:tcW w:w="1728" w:type="dxa"/>
            <w:gridSpan w:val="2"/>
            <w:vAlign w:val="center"/>
          </w:tcPr>
          <w:p>
            <w:pPr>
              <w:snapToGrid w:val="0"/>
              <w:jc w:val="center"/>
              <w:rPr>
                <w:b/>
                <w:sz w:val="18"/>
                <w:szCs w:val="18"/>
              </w:rPr>
            </w:pPr>
            <w:r>
              <w:rPr>
                <w:b/>
                <w:sz w:val="18"/>
                <w:szCs w:val="18"/>
              </w:rPr>
              <w:t>盖外径</w:t>
            </w:r>
            <w:r>
              <w:rPr>
                <w:b/>
                <w:i/>
                <w:iCs/>
                <w:sz w:val="18"/>
                <w:szCs w:val="18"/>
              </w:rPr>
              <w:t>B</w:t>
            </w:r>
          </w:p>
        </w:tc>
        <w:tc>
          <w:tcPr>
            <w:tcW w:w="1722" w:type="dxa"/>
            <w:gridSpan w:val="2"/>
            <w:vAlign w:val="center"/>
          </w:tcPr>
          <w:p>
            <w:pPr>
              <w:snapToGrid w:val="0"/>
              <w:jc w:val="center"/>
              <w:rPr>
                <w:b/>
                <w:sz w:val="18"/>
                <w:szCs w:val="18"/>
              </w:rPr>
            </w:pPr>
            <w:r>
              <w:rPr>
                <w:b/>
                <w:sz w:val="18"/>
                <w:szCs w:val="18"/>
              </w:rPr>
              <w:t>盖内径</w:t>
            </w:r>
            <w:r>
              <w:rPr>
                <w:b/>
                <w:i/>
                <w:iCs/>
                <w:sz w:val="18"/>
                <w:szCs w:val="18"/>
              </w:rPr>
              <w:t>A</w:t>
            </w:r>
          </w:p>
        </w:tc>
        <w:tc>
          <w:tcPr>
            <w:tcW w:w="1710" w:type="dxa"/>
            <w:gridSpan w:val="2"/>
            <w:vAlign w:val="center"/>
          </w:tcPr>
          <w:p>
            <w:pPr>
              <w:snapToGrid w:val="0"/>
              <w:jc w:val="center"/>
              <w:rPr>
                <w:b/>
                <w:sz w:val="18"/>
                <w:szCs w:val="18"/>
              </w:rPr>
            </w:pPr>
            <w:r>
              <w:rPr>
                <w:b/>
                <w:sz w:val="18"/>
                <w:szCs w:val="18"/>
              </w:rPr>
              <w:t>盖高</w:t>
            </w:r>
            <w:r>
              <w:rPr>
                <w:b/>
                <w:i/>
                <w:iCs/>
                <w:sz w:val="18"/>
                <w:szCs w:val="18"/>
              </w:rPr>
              <w:t>C</w:t>
            </w:r>
          </w:p>
        </w:tc>
        <w:tc>
          <w:tcPr>
            <w:tcW w:w="2550" w:type="dxa"/>
            <w:gridSpan w:val="4"/>
            <w:vAlign w:val="center"/>
          </w:tcPr>
          <w:p>
            <w:pPr>
              <w:snapToGrid w:val="0"/>
              <w:jc w:val="center"/>
              <w:rPr>
                <w:b/>
                <w:sz w:val="18"/>
                <w:szCs w:val="18"/>
              </w:rPr>
            </w:pPr>
            <w:r>
              <w:rPr>
                <w:b/>
                <w:sz w:val="18"/>
                <w:szCs w:val="18"/>
              </w:rPr>
              <w:t>密封垫圈厚度</w:t>
            </w:r>
            <w:r>
              <w:rPr>
                <w:b/>
                <w:i/>
                <w:iCs/>
                <w:sz w:val="18"/>
                <w:szCs w:val="18"/>
              </w:rPr>
              <w:t>D</w:t>
            </w:r>
          </w:p>
        </w:tc>
        <w:tc>
          <w:tcPr>
            <w:tcW w:w="1740" w:type="dxa"/>
            <w:gridSpan w:val="2"/>
            <w:vAlign w:val="center"/>
          </w:tcPr>
          <w:p>
            <w:pPr>
              <w:snapToGrid w:val="0"/>
              <w:jc w:val="center"/>
              <w:rPr>
                <w:b/>
                <w:sz w:val="18"/>
                <w:szCs w:val="18"/>
              </w:rPr>
            </w:pPr>
            <w:r>
              <w:rPr>
                <w:b/>
                <w:sz w:val="18"/>
                <w:szCs w:val="18"/>
              </w:rPr>
              <w:t>卷边直径（</w:t>
            </w:r>
            <w:r>
              <w:rPr>
                <w:b/>
                <w:i/>
                <w:iCs/>
                <w:sz w:val="18"/>
                <w:szCs w:val="18"/>
              </w:rPr>
              <w:t>H</w:t>
            </w:r>
            <w:r>
              <w:rPr>
                <w:b/>
                <w:sz w:val="18"/>
                <w:szCs w:val="18"/>
              </w:rPr>
              <w:t>-</w:t>
            </w:r>
            <w:r>
              <w:rPr>
                <w:b/>
                <w:i/>
                <w:iCs/>
                <w:sz w:val="18"/>
                <w:szCs w:val="18"/>
              </w:rPr>
              <w:t>B</w:t>
            </w:r>
            <w:r>
              <w:rPr>
                <w:b/>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0" w:type="dxa"/>
            <w:vMerge w:val="continue"/>
            <w:vAlign w:val="center"/>
          </w:tcPr>
          <w:p>
            <w:pPr>
              <w:jc w:val="center"/>
              <w:rPr>
                <w:b/>
                <w:sz w:val="18"/>
                <w:szCs w:val="18"/>
              </w:rPr>
            </w:pPr>
          </w:p>
        </w:tc>
        <w:tc>
          <w:tcPr>
            <w:tcW w:w="1020" w:type="dxa"/>
            <w:vMerge w:val="restart"/>
            <w:vAlign w:val="center"/>
          </w:tcPr>
          <w:p>
            <w:pPr>
              <w:jc w:val="center"/>
              <w:rPr>
                <w:b/>
                <w:sz w:val="18"/>
                <w:szCs w:val="18"/>
              </w:rPr>
            </w:pPr>
            <w:r>
              <w:rPr>
                <w:b/>
                <w:sz w:val="18"/>
                <w:szCs w:val="18"/>
              </w:rPr>
              <w:t>基本尺寸</w:t>
            </w:r>
          </w:p>
        </w:tc>
        <w:tc>
          <w:tcPr>
            <w:tcW w:w="708" w:type="dxa"/>
            <w:vMerge w:val="restart"/>
            <w:vAlign w:val="center"/>
          </w:tcPr>
          <w:p>
            <w:pPr>
              <w:jc w:val="center"/>
              <w:rPr>
                <w:b/>
                <w:sz w:val="18"/>
                <w:szCs w:val="18"/>
              </w:rPr>
            </w:pPr>
            <w:r>
              <w:rPr>
                <w:b/>
                <w:sz w:val="18"/>
                <w:szCs w:val="18"/>
              </w:rPr>
              <w:t>偏差</w:t>
            </w:r>
          </w:p>
        </w:tc>
        <w:tc>
          <w:tcPr>
            <w:tcW w:w="1077" w:type="dxa"/>
            <w:vMerge w:val="restart"/>
            <w:vAlign w:val="center"/>
          </w:tcPr>
          <w:p>
            <w:pPr>
              <w:jc w:val="center"/>
              <w:rPr>
                <w:b/>
                <w:sz w:val="18"/>
                <w:szCs w:val="18"/>
              </w:rPr>
            </w:pPr>
            <w:r>
              <w:rPr>
                <w:b/>
                <w:sz w:val="18"/>
                <w:szCs w:val="18"/>
              </w:rPr>
              <w:t>基本尺寸</w:t>
            </w:r>
          </w:p>
        </w:tc>
        <w:tc>
          <w:tcPr>
            <w:tcW w:w="645" w:type="dxa"/>
            <w:vMerge w:val="restart"/>
            <w:vAlign w:val="center"/>
          </w:tcPr>
          <w:p>
            <w:pPr>
              <w:jc w:val="center"/>
              <w:rPr>
                <w:b/>
                <w:sz w:val="18"/>
                <w:szCs w:val="18"/>
              </w:rPr>
            </w:pPr>
            <w:r>
              <w:rPr>
                <w:b/>
                <w:sz w:val="18"/>
                <w:szCs w:val="18"/>
              </w:rPr>
              <w:t>偏差</w:t>
            </w:r>
          </w:p>
        </w:tc>
        <w:tc>
          <w:tcPr>
            <w:tcW w:w="960" w:type="dxa"/>
            <w:vMerge w:val="restart"/>
            <w:vAlign w:val="center"/>
          </w:tcPr>
          <w:p>
            <w:pPr>
              <w:jc w:val="center"/>
              <w:rPr>
                <w:b/>
                <w:sz w:val="18"/>
                <w:szCs w:val="18"/>
              </w:rPr>
            </w:pPr>
            <w:r>
              <w:rPr>
                <w:b/>
                <w:sz w:val="18"/>
                <w:szCs w:val="18"/>
              </w:rPr>
              <w:t>基本尺寸</w:t>
            </w:r>
          </w:p>
        </w:tc>
        <w:tc>
          <w:tcPr>
            <w:tcW w:w="750" w:type="dxa"/>
            <w:vMerge w:val="restart"/>
            <w:vAlign w:val="center"/>
          </w:tcPr>
          <w:p>
            <w:pPr>
              <w:jc w:val="center"/>
              <w:rPr>
                <w:b/>
                <w:sz w:val="18"/>
                <w:szCs w:val="18"/>
              </w:rPr>
            </w:pPr>
            <w:r>
              <w:rPr>
                <w:b/>
                <w:sz w:val="18"/>
                <w:szCs w:val="18"/>
              </w:rPr>
              <w:t>偏差</w:t>
            </w:r>
          </w:p>
        </w:tc>
        <w:tc>
          <w:tcPr>
            <w:tcW w:w="1245" w:type="dxa"/>
            <w:gridSpan w:val="2"/>
            <w:vAlign w:val="center"/>
          </w:tcPr>
          <w:p>
            <w:pPr>
              <w:jc w:val="center"/>
              <w:rPr>
                <w:b/>
                <w:sz w:val="18"/>
                <w:szCs w:val="18"/>
              </w:rPr>
            </w:pPr>
            <w:r>
              <w:rPr>
                <w:b/>
                <w:sz w:val="18"/>
                <w:szCs w:val="18"/>
              </w:rPr>
              <w:t>实心</w:t>
            </w:r>
          </w:p>
        </w:tc>
        <w:tc>
          <w:tcPr>
            <w:tcW w:w="1305" w:type="dxa"/>
            <w:gridSpan w:val="2"/>
            <w:vAlign w:val="center"/>
          </w:tcPr>
          <w:p>
            <w:pPr>
              <w:jc w:val="center"/>
              <w:rPr>
                <w:b/>
                <w:sz w:val="18"/>
                <w:szCs w:val="18"/>
              </w:rPr>
            </w:pPr>
            <w:r>
              <w:rPr>
                <w:b/>
                <w:sz w:val="18"/>
                <w:szCs w:val="18"/>
              </w:rPr>
              <w:t>发泡</w:t>
            </w:r>
          </w:p>
        </w:tc>
        <w:tc>
          <w:tcPr>
            <w:tcW w:w="955" w:type="dxa"/>
            <w:vMerge w:val="restart"/>
            <w:vAlign w:val="center"/>
          </w:tcPr>
          <w:p>
            <w:pPr>
              <w:jc w:val="center"/>
              <w:rPr>
                <w:b/>
                <w:sz w:val="18"/>
                <w:szCs w:val="18"/>
              </w:rPr>
            </w:pPr>
            <w:r>
              <w:rPr>
                <w:b/>
                <w:sz w:val="18"/>
                <w:szCs w:val="18"/>
              </w:rPr>
              <w:t>基本尺寸</w:t>
            </w:r>
          </w:p>
        </w:tc>
        <w:tc>
          <w:tcPr>
            <w:tcW w:w="785" w:type="dxa"/>
            <w:vMerge w:val="restart"/>
            <w:vAlign w:val="center"/>
          </w:tcPr>
          <w:p>
            <w:pPr>
              <w:jc w:val="center"/>
              <w:rPr>
                <w:b/>
                <w:sz w:val="18"/>
                <w:szCs w:val="18"/>
              </w:rPr>
            </w:pPr>
            <w:r>
              <w:rPr>
                <w:b/>
                <w:sz w:val="18"/>
                <w:szCs w:val="18"/>
              </w:rPr>
              <w:t>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660" w:type="dxa"/>
            <w:vMerge w:val="continue"/>
            <w:vAlign w:val="center"/>
          </w:tcPr>
          <w:p>
            <w:pPr>
              <w:jc w:val="center"/>
              <w:rPr>
                <w:b/>
                <w:sz w:val="18"/>
                <w:szCs w:val="18"/>
              </w:rPr>
            </w:pPr>
          </w:p>
        </w:tc>
        <w:tc>
          <w:tcPr>
            <w:tcW w:w="1020" w:type="dxa"/>
            <w:vMerge w:val="continue"/>
            <w:vAlign w:val="center"/>
          </w:tcPr>
          <w:p>
            <w:pPr>
              <w:jc w:val="center"/>
              <w:rPr>
                <w:b/>
                <w:sz w:val="18"/>
                <w:szCs w:val="18"/>
              </w:rPr>
            </w:pPr>
          </w:p>
        </w:tc>
        <w:tc>
          <w:tcPr>
            <w:tcW w:w="708" w:type="dxa"/>
            <w:vMerge w:val="continue"/>
            <w:vAlign w:val="center"/>
          </w:tcPr>
          <w:p>
            <w:pPr>
              <w:jc w:val="center"/>
              <w:rPr>
                <w:b/>
                <w:sz w:val="18"/>
                <w:szCs w:val="18"/>
              </w:rPr>
            </w:pPr>
          </w:p>
        </w:tc>
        <w:tc>
          <w:tcPr>
            <w:tcW w:w="1077" w:type="dxa"/>
            <w:vMerge w:val="continue"/>
            <w:vAlign w:val="center"/>
          </w:tcPr>
          <w:p>
            <w:pPr>
              <w:jc w:val="center"/>
              <w:rPr>
                <w:b/>
                <w:sz w:val="18"/>
                <w:szCs w:val="18"/>
              </w:rPr>
            </w:pPr>
          </w:p>
        </w:tc>
        <w:tc>
          <w:tcPr>
            <w:tcW w:w="645" w:type="dxa"/>
            <w:vMerge w:val="continue"/>
            <w:vAlign w:val="center"/>
          </w:tcPr>
          <w:p>
            <w:pPr>
              <w:jc w:val="center"/>
              <w:rPr>
                <w:b/>
                <w:sz w:val="18"/>
                <w:szCs w:val="18"/>
              </w:rPr>
            </w:pPr>
          </w:p>
        </w:tc>
        <w:tc>
          <w:tcPr>
            <w:tcW w:w="960" w:type="dxa"/>
            <w:vMerge w:val="continue"/>
            <w:vAlign w:val="center"/>
          </w:tcPr>
          <w:p>
            <w:pPr>
              <w:jc w:val="center"/>
              <w:rPr>
                <w:b/>
                <w:sz w:val="18"/>
                <w:szCs w:val="18"/>
              </w:rPr>
            </w:pPr>
          </w:p>
        </w:tc>
        <w:tc>
          <w:tcPr>
            <w:tcW w:w="750" w:type="dxa"/>
            <w:vMerge w:val="continue"/>
            <w:vAlign w:val="center"/>
          </w:tcPr>
          <w:p>
            <w:pPr>
              <w:jc w:val="center"/>
              <w:rPr>
                <w:b/>
                <w:sz w:val="18"/>
                <w:szCs w:val="18"/>
              </w:rPr>
            </w:pPr>
          </w:p>
        </w:tc>
        <w:tc>
          <w:tcPr>
            <w:tcW w:w="645" w:type="dxa"/>
            <w:vAlign w:val="center"/>
          </w:tcPr>
          <w:p>
            <w:pPr>
              <w:jc w:val="center"/>
              <w:rPr>
                <w:b/>
                <w:sz w:val="18"/>
                <w:szCs w:val="18"/>
              </w:rPr>
            </w:pPr>
            <w:r>
              <w:rPr>
                <w:b/>
                <w:sz w:val="18"/>
                <w:szCs w:val="18"/>
              </w:rPr>
              <w:t>min</w:t>
            </w:r>
          </w:p>
        </w:tc>
        <w:tc>
          <w:tcPr>
            <w:tcW w:w="600" w:type="dxa"/>
            <w:vAlign w:val="center"/>
          </w:tcPr>
          <w:p>
            <w:pPr>
              <w:jc w:val="center"/>
              <w:rPr>
                <w:b/>
                <w:sz w:val="18"/>
                <w:szCs w:val="18"/>
              </w:rPr>
            </w:pPr>
            <w:r>
              <w:rPr>
                <w:b/>
                <w:sz w:val="18"/>
                <w:szCs w:val="18"/>
              </w:rPr>
              <w:t>max</w:t>
            </w:r>
          </w:p>
        </w:tc>
        <w:tc>
          <w:tcPr>
            <w:tcW w:w="630" w:type="dxa"/>
            <w:vAlign w:val="center"/>
          </w:tcPr>
          <w:p>
            <w:pPr>
              <w:jc w:val="center"/>
              <w:rPr>
                <w:b/>
                <w:sz w:val="18"/>
                <w:szCs w:val="18"/>
              </w:rPr>
            </w:pPr>
            <w:r>
              <w:rPr>
                <w:b/>
                <w:sz w:val="18"/>
                <w:szCs w:val="18"/>
              </w:rPr>
              <w:t>min</w:t>
            </w:r>
          </w:p>
        </w:tc>
        <w:tc>
          <w:tcPr>
            <w:tcW w:w="675" w:type="dxa"/>
            <w:vAlign w:val="center"/>
          </w:tcPr>
          <w:p>
            <w:pPr>
              <w:jc w:val="center"/>
              <w:rPr>
                <w:b/>
                <w:sz w:val="18"/>
                <w:szCs w:val="18"/>
              </w:rPr>
            </w:pPr>
            <w:r>
              <w:rPr>
                <w:b/>
                <w:sz w:val="18"/>
                <w:szCs w:val="18"/>
              </w:rPr>
              <w:t>max</w:t>
            </w:r>
          </w:p>
        </w:tc>
        <w:tc>
          <w:tcPr>
            <w:tcW w:w="955" w:type="dxa"/>
            <w:vMerge w:val="continue"/>
            <w:vAlign w:val="center"/>
          </w:tcPr>
          <w:p>
            <w:pPr>
              <w:jc w:val="center"/>
              <w:rPr>
                <w:b/>
                <w:sz w:val="18"/>
                <w:szCs w:val="18"/>
              </w:rPr>
            </w:pPr>
          </w:p>
        </w:tc>
        <w:tc>
          <w:tcPr>
            <w:tcW w:w="785" w:type="dxa"/>
            <w:vMerge w:val="continue"/>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0" w:type="dxa"/>
            <w:vAlign w:val="center"/>
          </w:tcPr>
          <w:p>
            <w:pPr>
              <w:jc w:val="center"/>
              <w:rPr>
                <w:bCs/>
                <w:sz w:val="18"/>
                <w:szCs w:val="18"/>
              </w:rPr>
            </w:pPr>
            <w:r>
              <w:rPr>
                <w:bCs/>
                <w:sz w:val="18"/>
                <w:szCs w:val="18"/>
              </w:rPr>
              <w:t>33</w:t>
            </w:r>
          </w:p>
        </w:tc>
        <w:tc>
          <w:tcPr>
            <w:tcW w:w="1020" w:type="dxa"/>
            <w:vAlign w:val="center"/>
          </w:tcPr>
          <w:p>
            <w:pPr>
              <w:jc w:val="center"/>
              <w:rPr>
                <w:bCs/>
                <w:sz w:val="18"/>
                <w:szCs w:val="18"/>
              </w:rPr>
            </w:pPr>
            <w:r>
              <w:rPr>
                <w:bCs/>
                <w:sz w:val="18"/>
                <w:szCs w:val="18"/>
              </w:rPr>
              <w:t>32.2</w:t>
            </w:r>
          </w:p>
        </w:tc>
        <w:tc>
          <w:tcPr>
            <w:tcW w:w="708" w:type="dxa"/>
            <w:vMerge w:val="restart"/>
            <w:vAlign w:val="center"/>
          </w:tcPr>
          <w:p>
            <w:pPr>
              <w:jc w:val="center"/>
              <w:rPr>
                <w:bCs/>
                <w:sz w:val="18"/>
                <w:szCs w:val="18"/>
              </w:rPr>
            </w:pPr>
            <w:r>
              <w:rPr>
                <w:bCs/>
                <w:sz w:val="18"/>
                <w:szCs w:val="18"/>
              </w:rPr>
              <w:t>±0.2</w:t>
            </w:r>
          </w:p>
        </w:tc>
        <w:tc>
          <w:tcPr>
            <w:tcW w:w="1077" w:type="dxa"/>
            <w:vAlign w:val="center"/>
          </w:tcPr>
          <w:p>
            <w:pPr>
              <w:jc w:val="center"/>
              <w:rPr>
                <w:bCs/>
                <w:sz w:val="18"/>
                <w:szCs w:val="18"/>
              </w:rPr>
            </w:pPr>
            <w:r>
              <w:rPr>
                <w:bCs/>
                <w:sz w:val="18"/>
                <w:szCs w:val="18"/>
              </w:rPr>
              <w:t>31.0</w:t>
            </w:r>
          </w:p>
        </w:tc>
        <w:tc>
          <w:tcPr>
            <w:tcW w:w="645" w:type="dxa"/>
            <w:vMerge w:val="restart"/>
            <w:vAlign w:val="center"/>
          </w:tcPr>
          <w:p>
            <w:pPr>
              <w:jc w:val="center"/>
              <w:rPr>
                <w:bCs/>
                <w:sz w:val="18"/>
                <w:szCs w:val="18"/>
              </w:rPr>
            </w:pPr>
            <w:r>
              <w:rPr>
                <w:bCs/>
                <w:sz w:val="18"/>
                <w:szCs w:val="18"/>
              </w:rPr>
              <w:t>±0.3</w:t>
            </w:r>
          </w:p>
        </w:tc>
        <w:tc>
          <w:tcPr>
            <w:tcW w:w="960" w:type="dxa"/>
            <w:vAlign w:val="center"/>
          </w:tcPr>
          <w:p>
            <w:pPr>
              <w:jc w:val="center"/>
              <w:rPr>
                <w:bCs/>
                <w:sz w:val="18"/>
                <w:szCs w:val="18"/>
              </w:rPr>
            </w:pPr>
            <w:r>
              <w:rPr>
                <w:bCs/>
                <w:sz w:val="18"/>
                <w:szCs w:val="18"/>
              </w:rPr>
              <w:t>12.0</w:t>
            </w:r>
          </w:p>
        </w:tc>
        <w:tc>
          <w:tcPr>
            <w:tcW w:w="750" w:type="dxa"/>
            <w:vMerge w:val="restart"/>
            <w:vAlign w:val="center"/>
          </w:tcPr>
          <w:p>
            <w:pPr>
              <w:jc w:val="center"/>
              <w:rPr>
                <w:bCs/>
                <w:sz w:val="18"/>
                <w:szCs w:val="18"/>
              </w:rPr>
            </w:pPr>
            <w:r>
              <w:rPr>
                <w:bCs/>
                <w:sz w:val="18"/>
                <w:szCs w:val="18"/>
              </w:rPr>
              <w:t>±0.3</w:t>
            </w:r>
          </w:p>
        </w:tc>
        <w:tc>
          <w:tcPr>
            <w:tcW w:w="645" w:type="dxa"/>
            <w:vMerge w:val="restart"/>
            <w:vAlign w:val="center"/>
          </w:tcPr>
          <w:p>
            <w:pPr>
              <w:jc w:val="center"/>
              <w:rPr>
                <w:bCs/>
                <w:sz w:val="18"/>
                <w:szCs w:val="18"/>
              </w:rPr>
            </w:pPr>
            <w:r>
              <w:rPr>
                <w:bCs/>
                <w:sz w:val="18"/>
                <w:szCs w:val="18"/>
              </w:rPr>
              <w:t>0.75</w:t>
            </w:r>
          </w:p>
        </w:tc>
        <w:tc>
          <w:tcPr>
            <w:tcW w:w="600" w:type="dxa"/>
            <w:vMerge w:val="restart"/>
            <w:vAlign w:val="center"/>
          </w:tcPr>
          <w:p>
            <w:pPr>
              <w:jc w:val="center"/>
              <w:rPr>
                <w:bCs/>
                <w:sz w:val="18"/>
                <w:szCs w:val="18"/>
              </w:rPr>
            </w:pPr>
            <w:r>
              <w:rPr>
                <w:bCs/>
                <w:sz w:val="18"/>
                <w:szCs w:val="18"/>
              </w:rPr>
              <w:t>1.4</w:t>
            </w:r>
          </w:p>
        </w:tc>
        <w:tc>
          <w:tcPr>
            <w:tcW w:w="630" w:type="dxa"/>
            <w:vMerge w:val="restart"/>
            <w:vAlign w:val="center"/>
          </w:tcPr>
          <w:p>
            <w:pPr>
              <w:jc w:val="center"/>
              <w:rPr>
                <w:bCs/>
                <w:sz w:val="18"/>
                <w:szCs w:val="18"/>
              </w:rPr>
            </w:pPr>
            <w:r>
              <w:rPr>
                <w:bCs/>
                <w:sz w:val="18"/>
                <w:szCs w:val="18"/>
              </w:rPr>
              <w:t>0.75</w:t>
            </w:r>
          </w:p>
        </w:tc>
        <w:tc>
          <w:tcPr>
            <w:tcW w:w="675" w:type="dxa"/>
            <w:vMerge w:val="restart"/>
            <w:vAlign w:val="center"/>
          </w:tcPr>
          <w:p>
            <w:pPr>
              <w:jc w:val="center"/>
              <w:rPr>
                <w:bCs/>
                <w:sz w:val="18"/>
                <w:szCs w:val="18"/>
              </w:rPr>
            </w:pPr>
            <w:r>
              <w:rPr>
                <w:bCs/>
                <w:sz w:val="18"/>
                <w:szCs w:val="18"/>
              </w:rPr>
              <w:t>1.55</w:t>
            </w:r>
          </w:p>
        </w:tc>
        <w:tc>
          <w:tcPr>
            <w:tcW w:w="955" w:type="dxa"/>
            <w:vAlign w:val="center"/>
          </w:tcPr>
          <w:p>
            <w:pPr>
              <w:jc w:val="center"/>
              <w:rPr>
                <w:bCs/>
                <w:sz w:val="18"/>
                <w:szCs w:val="18"/>
              </w:rPr>
            </w:pPr>
            <w:r>
              <w:rPr>
                <w:bCs/>
                <w:sz w:val="18"/>
                <w:szCs w:val="18"/>
              </w:rPr>
              <w:t>1.2</w:t>
            </w:r>
          </w:p>
        </w:tc>
        <w:tc>
          <w:tcPr>
            <w:tcW w:w="785" w:type="dxa"/>
            <w:vMerge w:val="restart"/>
            <w:vAlign w:val="center"/>
          </w:tcPr>
          <w:p>
            <w:pPr>
              <w:jc w:val="center"/>
              <w:rPr>
                <w:b/>
                <w:sz w:val="18"/>
                <w:szCs w:val="18"/>
              </w:rPr>
            </w:pPr>
            <w:r>
              <w:rPr>
                <w:bCs/>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0" w:type="dxa"/>
            <w:vAlign w:val="center"/>
          </w:tcPr>
          <w:p>
            <w:pPr>
              <w:jc w:val="center"/>
              <w:rPr>
                <w:bCs/>
                <w:sz w:val="18"/>
                <w:szCs w:val="18"/>
              </w:rPr>
            </w:pPr>
            <w:r>
              <w:rPr>
                <w:bCs/>
                <w:sz w:val="18"/>
                <w:szCs w:val="18"/>
              </w:rPr>
              <w:t>43</w:t>
            </w:r>
          </w:p>
        </w:tc>
        <w:tc>
          <w:tcPr>
            <w:tcW w:w="1020" w:type="dxa"/>
            <w:vAlign w:val="center"/>
          </w:tcPr>
          <w:p>
            <w:pPr>
              <w:jc w:val="center"/>
              <w:rPr>
                <w:bCs/>
                <w:sz w:val="18"/>
                <w:szCs w:val="18"/>
              </w:rPr>
            </w:pPr>
            <w:r>
              <w:rPr>
                <w:bCs/>
                <w:sz w:val="18"/>
                <w:szCs w:val="18"/>
              </w:rPr>
              <w:t>43.0</w:t>
            </w:r>
          </w:p>
        </w:tc>
        <w:tc>
          <w:tcPr>
            <w:tcW w:w="708" w:type="dxa"/>
            <w:vMerge w:val="continue"/>
            <w:vAlign w:val="center"/>
          </w:tcPr>
          <w:p>
            <w:pPr>
              <w:jc w:val="center"/>
              <w:rPr>
                <w:bCs/>
                <w:sz w:val="18"/>
                <w:szCs w:val="18"/>
              </w:rPr>
            </w:pPr>
          </w:p>
        </w:tc>
        <w:tc>
          <w:tcPr>
            <w:tcW w:w="1077" w:type="dxa"/>
            <w:vAlign w:val="center"/>
          </w:tcPr>
          <w:p>
            <w:pPr>
              <w:jc w:val="center"/>
              <w:rPr>
                <w:bCs/>
                <w:sz w:val="18"/>
                <w:szCs w:val="18"/>
              </w:rPr>
            </w:pPr>
            <w:r>
              <w:rPr>
                <w:bCs/>
                <w:sz w:val="18"/>
                <w:szCs w:val="18"/>
              </w:rPr>
              <w:t>41.2</w:t>
            </w:r>
          </w:p>
        </w:tc>
        <w:tc>
          <w:tcPr>
            <w:tcW w:w="645" w:type="dxa"/>
            <w:vMerge w:val="continue"/>
            <w:vAlign w:val="center"/>
          </w:tcPr>
          <w:p>
            <w:pPr>
              <w:jc w:val="center"/>
              <w:rPr>
                <w:bCs/>
                <w:sz w:val="18"/>
                <w:szCs w:val="18"/>
              </w:rPr>
            </w:pPr>
          </w:p>
        </w:tc>
        <w:tc>
          <w:tcPr>
            <w:tcW w:w="960" w:type="dxa"/>
            <w:vAlign w:val="center"/>
          </w:tcPr>
          <w:p>
            <w:pPr>
              <w:jc w:val="center"/>
              <w:rPr>
                <w:bCs/>
                <w:sz w:val="18"/>
                <w:szCs w:val="18"/>
              </w:rPr>
            </w:pPr>
            <w:r>
              <w:rPr>
                <w:bCs/>
                <w:sz w:val="18"/>
                <w:szCs w:val="18"/>
              </w:rPr>
              <w:t>12.7</w:t>
            </w:r>
          </w:p>
        </w:tc>
        <w:tc>
          <w:tcPr>
            <w:tcW w:w="750" w:type="dxa"/>
            <w:vMerge w:val="continue"/>
            <w:vAlign w:val="center"/>
          </w:tcPr>
          <w:p>
            <w:pPr>
              <w:jc w:val="center"/>
              <w:rPr>
                <w:bCs/>
                <w:sz w:val="18"/>
                <w:szCs w:val="18"/>
              </w:rPr>
            </w:pPr>
          </w:p>
        </w:tc>
        <w:tc>
          <w:tcPr>
            <w:tcW w:w="645" w:type="dxa"/>
            <w:vMerge w:val="continue"/>
            <w:vAlign w:val="center"/>
          </w:tcPr>
          <w:p>
            <w:pPr>
              <w:jc w:val="center"/>
              <w:rPr>
                <w:bCs/>
                <w:sz w:val="18"/>
                <w:szCs w:val="18"/>
              </w:rPr>
            </w:pPr>
          </w:p>
        </w:tc>
        <w:tc>
          <w:tcPr>
            <w:tcW w:w="600" w:type="dxa"/>
            <w:vMerge w:val="continue"/>
            <w:vAlign w:val="center"/>
          </w:tcPr>
          <w:p>
            <w:pPr>
              <w:jc w:val="center"/>
              <w:rPr>
                <w:bCs/>
                <w:sz w:val="18"/>
                <w:szCs w:val="18"/>
              </w:rPr>
            </w:pPr>
          </w:p>
        </w:tc>
        <w:tc>
          <w:tcPr>
            <w:tcW w:w="630" w:type="dxa"/>
            <w:vMerge w:val="continue"/>
            <w:vAlign w:val="center"/>
          </w:tcPr>
          <w:p>
            <w:pPr>
              <w:jc w:val="center"/>
              <w:rPr>
                <w:bCs/>
                <w:sz w:val="18"/>
                <w:szCs w:val="18"/>
              </w:rPr>
            </w:pPr>
          </w:p>
        </w:tc>
        <w:tc>
          <w:tcPr>
            <w:tcW w:w="675" w:type="dxa"/>
            <w:vMerge w:val="continue"/>
            <w:vAlign w:val="center"/>
          </w:tcPr>
          <w:p>
            <w:pPr>
              <w:jc w:val="center"/>
              <w:rPr>
                <w:bCs/>
                <w:sz w:val="18"/>
                <w:szCs w:val="18"/>
              </w:rPr>
            </w:pPr>
          </w:p>
        </w:tc>
        <w:tc>
          <w:tcPr>
            <w:tcW w:w="955" w:type="dxa"/>
            <w:vAlign w:val="center"/>
          </w:tcPr>
          <w:p>
            <w:pPr>
              <w:jc w:val="center"/>
              <w:rPr>
                <w:bCs/>
                <w:sz w:val="18"/>
                <w:szCs w:val="18"/>
              </w:rPr>
            </w:pPr>
            <w:r>
              <w:rPr>
                <w:bCs/>
                <w:sz w:val="18"/>
                <w:szCs w:val="18"/>
              </w:rPr>
              <w:t>1.3</w:t>
            </w:r>
          </w:p>
        </w:tc>
        <w:tc>
          <w:tcPr>
            <w:tcW w:w="785" w:type="dxa"/>
            <w:vMerge w:val="continue"/>
          </w:tcPr>
          <w:p>
            <w:pPr>
              <w:rPr>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0" w:type="dxa"/>
            <w:vAlign w:val="center"/>
          </w:tcPr>
          <w:p>
            <w:pPr>
              <w:jc w:val="center"/>
              <w:rPr>
                <w:bCs/>
                <w:sz w:val="18"/>
                <w:szCs w:val="18"/>
              </w:rPr>
            </w:pPr>
            <w:r>
              <w:rPr>
                <w:bCs/>
                <w:sz w:val="18"/>
                <w:szCs w:val="18"/>
              </w:rPr>
              <w:t>54</w:t>
            </w:r>
          </w:p>
        </w:tc>
        <w:tc>
          <w:tcPr>
            <w:tcW w:w="1020" w:type="dxa"/>
            <w:vAlign w:val="center"/>
          </w:tcPr>
          <w:p>
            <w:pPr>
              <w:jc w:val="center"/>
              <w:rPr>
                <w:bCs/>
                <w:sz w:val="18"/>
                <w:szCs w:val="18"/>
              </w:rPr>
            </w:pPr>
            <w:r>
              <w:rPr>
                <w:bCs/>
                <w:sz w:val="18"/>
                <w:szCs w:val="18"/>
              </w:rPr>
              <w:t>54.5</w:t>
            </w:r>
          </w:p>
        </w:tc>
        <w:tc>
          <w:tcPr>
            <w:tcW w:w="708" w:type="dxa"/>
            <w:vMerge w:val="continue"/>
            <w:vAlign w:val="center"/>
          </w:tcPr>
          <w:p>
            <w:pPr>
              <w:jc w:val="center"/>
              <w:rPr>
                <w:bCs/>
                <w:sz w:val="18"/>
                <w:szCs w:val="18"/>
              </w:rPr>
            </w:pPr>
          </w:p>
        </w:tc>
        <w:tc>
          <w:tcPr>
            <w:tcW w:w="1077" w:type="dxa"/>
            <w:vAlign w:val="center"/>
          </w:tcPr>
          <w:p>
            <w:pPr>
              <w:jc w:val="center"/>
              <w:rPr>
                <w:bCs/>
                <w:sz w:val="18"/>
                <w:szCs w:val="18"/>
              </w:rPr>
            </w:pPr>
            <w:r>
              <w:rPr>
                <w:bCs/>
                <w:sz w:val="18"/>
                <w:szCs w:val="18"/>
              </w:rPr>
              <w:t>53.4</w:t>
            </w:r>
          </w:p>
        </w:tc>
        <w:tc>
          <w:tcPr>
            <w:tcW w:w="645" w:type="dxa"/>
            <w:vMerge w:val="continue"/>
            <w:vAlign w:val="center"/>
          </w:tcPr>
          <w:p>
            <w:pPr>
              <w:jc w:val="center"/>
              <w:rPr>
                <w:bCs/>
                <w:sz w:val="18"/>
                <w:szCs w:val="18"/>
              </w:rPr>
            </w:pPr>
          </w:p>
        </w:tc>
        <w:tc>
          <w:tcPr>
            <w:tcW w:w="960" w:type="dxa"/>
            <w:vAlign w:val="center"/>
          </w:tcPr>
          <w:p>
            <w:pPr>
              <w:jc w:val="center"/>
              <w:rPr>
                <w:bCs/>
                <w:sz w:val="18"/>
                <w:szCs w:val="18"/>
              </w:rPr>
            </w:pPr>
            <w:r>
              <w:rPr>
                <w:bCs/>
                <w:sz w:val="18"/>
                <w:szCs w:val="18"/>
              </w:rPr>
              <w:t>15.7</w:t>
            </w:r>
          </w:p>
        </w:tc>
        <w:tc>
          <w:tcPr>
            <w:tcW w:w="750" w:type="dxa"/>
            <w:vMerge w:val="continue"/>
            <w:vAlign w:val="center"/>
          </w:tcPr>
          <w:p>
            <w:pPr>
              <w:jc w:val="center"/>
              <w:rPr>
                <w:bCs/>
                <w:sz w:val="18"/>
                <w:szCs w:val="18"/>
              </w:rPr>
            </w:pPr>
          </w:p>
        </w:tc>
        <w:tc>
          <w:tcPr>
            <w:tcW w:w="645" w:type="dxa"/>
            <w:vMerge w:val="continue"/>
            <w:vAlign w:val="center"/>
          </w:tcPr>
          <w:p>
            <w:pPr>
              <w:jc w:val="center"/>
              <w:rPr>
                <w:bCs/>
                <w:sz w:val="18"/>
                <w:szCs w:val="18"/>
              </w:rPr>
            </w:pPr>
          </w:p>
        </w:tc>
        <w:tc>
          <w:tcPr>
            <w:tcW w:w="600" w:type="dxa"/>
            <w:vMerge w:val="continue"/>
            <w:vAlign w:val="center"/>
          </w:tcPr>
          <w:p>
            <w:pPr>
              <w:jc w:val="center"/>
              <w:rPr>
                <w:bCs/>
                <w:sz w:val="18"/>
                <w:szCs w:val="18"/>
              </w:rPr>
            </w:pPr>
          </w:p>
        </w:tc>
        <w:tc>
          <w:tcPr>
            <w:tcW w:w="630" w:type="dxa"/>
            <w:vMerge w:val="continue"/>
            <w:vAlign w:val="center"/>
          </w:tcPr>
          <w:p>
            <w:pPr>
              <w:jc w:val="center"/>
              <w:rPr>
                <w:bCs/>
                <w:sz w:val="18"/>
                <w:szCs w:val="18"/>
              </w:rPr>
            </w:pPr>
          </w:p>
        </w:tc>
        <w:tc>
          <w:tcPr>
            <w:tcW w:w="675" w:type="dxa"/>
            <w:vMerge w:val="continue"/>
            <w:vAlign w:val="center"/>
          </w:tcPr>
          <w:p>
            <w:pPr>
              <w:jc w:val="center"/>
              <w:rPr>
                <w:bCs/>
                <w:sz w:val="18"/>
                <w:szCs w:val="18"/>
              </w:rPr>
            </w:pPr>
          </w:p>
        </w:tc>
        <w:tc>
          <w:tcPr>
            <w:tcW w:w="955" w:type="dxa"/>
            <w:vAlign w:val="center"/>
          </w:tcPr>
          <w:p>
            <w:pPr>
              <w:jc w:val="center"/>
              <w:rPr>
                <w:bCs/>
                <w:sz w:val="18"/>
                <w:szCs w:val="18"/>
              </w:rPr>
            </w:pPr>
            <w:r>
              <w:rPr>
                <w:bCs/>
                <w:sz w:val="18"/>
                <w:szCs w:val="18"/>
              </w:rPr>
              <w:t>1.4</w:t>
            </w:r>
          </w:p>
        </w:tc>
        <w:tc>
          <w:tcPr>
            <w:tcW w:w="785" w:type="dxa"/>
            <w:vMerge w:val="continue"/>
          </w:tcPr>
          <w:p>
            <w:pPr>
              <w:rPr>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0" w:type="dxa"/>
            <w:vAlign w:val="center"/>
          </w:tcPr>
          <w:p>
            <w:pPr>
              <w:jc w:val="center"/>
              <w:rPr>
                <w:bCs/>
                <w:sz w:val="18"/>
                <w:szCs w:val="18"/>
              </w:rPr>
            </w:pPr>
            <w:r>
              <w:rPr>
                <w:bCs/>
                <w:sz w:val="18"/>
                <w:szCs w:val="18"/>
              </w:rPr>
              <w:t>62</w:t>
            </w:r>
          </w:p>
        </w:tc>
        <w:tc>
          <w:tcPr>
            <w:tcW w:w="1020" w:type="dxa"/>
            <w:vAlign w:val="center"/>
          </w:tcPr>
          <w:p>
            <w:pPr>
              <w:jc w:val="center"/>
              <w:rPr>
                <w:bCs/>
                <w:sz w:val="18"/>
                <w:szCs w:val="18"/>
              </w:rPr>
            </w:pPr>
            <w:r>
              <w:rPr>
                <w:bCs/>
                <w:sz w:val="18"/>
                <w:szCs w:val="18"/>
              </w:rPr>
              <w:t>61.8</w:t>
            </w:r>
          </w:p>
        </w:tc>
        <w:tc>
          <w:tcPr>
            <w:tcW w:w="708" w:type="dxa"/>
            <w:vMerge w:val="continue"/>
            <w:vAlign w:val="center"/>
          </w:tcPr>
          <w:p>
            <w:pPr>
              <w:jc w:val="center"/>
              <w:rPr>
                <w:bCs/>
                <w:sz w:val="18"/>
                <w:szCs w:val="18"/>
              </w:rPr>
            </w:pPr>
          </w:p>
        </w:tc>
        <w:tc>
          <w:tcPr>
            <w:tcW w:w="1077" w:type="dxa"/>
            <w:vAlign w:val="center"/>
          </w:tcPr>
          <w:p>
            <w:pPr>
              <w:jc w:val="center"/>
              <w:rPr>
                <w:bCs/>
                <w:sz w:val="18"/>
                <w:szCs w:val="18"/>
              </w:rPr>
            </w:pPr>
            <w:r>
              <w:rPr>
                <w:bCs/>
                <w:sz w:val="18"/>
                <w:szCs w:val="18"/>
              </w:rPr>
              <w:t>60.2</w:t>
            </w:r>
          </w:p>
        </w:tc>
        <w:tc>
          <w:tcPr>
            <w:tcW w:w="645" w:type="dxa"/>
            <w:vMerge w:val="continue"/>
            <w:vAlign w:val="center"/>
          </w:tcPr>
          <w:p>
            <w:pPr>
              <w:jc w:val="center"/>
              <w:rPr>
                <w:bCs/>
                <w:sz w:val="18"/>
                <w:szCs w:val="18"/>
              </w:rPr>
            </w:pPr>
          </w:p>
        </w:tc>
        <w:tc>
          <w:tcPr>
            <w:tcW w:w="960" w:type="dxa"/>
            <w:vAlign w:val="center"/>
          </w:tcPr>
          <w:p>
            <w:pPr>
              <w:jc w:val="center"/>
              <w:rPr>
                <w:bCs/>
                <w:sz w:val="18"/>
                <w:szCs w:val="18"/>
              </w:rPr>
            </w:pPr>
            <w:r>
              <w:rPr>
                <w:bCs/>
                <w:sz w:val="18"/>
                <w:szCs w:val="18"/>
              </w:rPr>
              <w:t>13.4</w:t>
            </w:r>
          </w:p>
        </w:tc>
        <w:tc>
          <w:tcPr>
            <w:tcW w:w="750" w:type="dxa"/>
            <w:vMerge w:val="continue"/>
            <w:vAlign w:val="center"/>
          </w:tcPr>
          <w:p>
            <w:pPr>
              <w:jc w:val="center"/>
              <w:rPr>
                <w:bCs/>
                <w:sz w:val="18"/>
                <w:szCs w:val="18"/>
              </w:rPr>
            </w:pPr>
          </w:p>
        </w:tc>
        <w:tc>
          <w:tcPr>
            <w:tcW w:w="645" w:type="dxa"/>
            <w:vMerge w:val="continue"/>
            <w:vAlign w:val="center"/>
          </w:tcPr>
          <w:p>
            <w:pPr>
              <w:jc w:val="center"/>
              <w:rPr>
                <w:bCs/>
                <w:sz w:val="18"/>
                <w:szCs w:val="18"/>
              </w:rPr>
            </w:pPr>
          </w:p>
        </w:tc>
        <w:tc>
          <w:tcPr>
            <w:tcW w:w="600" w:type="dxa"/>
            <w:vMerge w:val="continue"/>
            <w:vAlign w:val="center"/>
          </w:tcPr>
          <w:p>
            <w:pPr>
              <w:jc w:val="center"/>
              <w:rPr>
                <w:bCs/>
                <w:sz w:val="18"/>
                <w:szCs w:val="18"/>
              </w:rPr>
            </w:pPr>
          </w:p>
        </w:tc>
        <w:tc>
          <w:tcPr>
            <w:tcW w:w="630" w:type="dxa"/>
            <w:vMerge w:val="continue"/>
            <w:vAlign w:val="center"/>
          </w:tcPr>
          <w:p>
            <w:pPr>
              <w:jc w:val="center"/>
              <w:rPr>
                <w:bCs/>
                <w:sz w:val="18"/>
                <w:szCs w:val="18"/>
              </w:rPr>
            </w:pPr>
          </w:p>
        </w:tc>
        <w:tc>
          <w:tcPr>
            <w:tcW w:w="675" w:type="dxa"/>
            <w:vMerge w:val="continue"/>
            <w:vAlign w:val="center"/>
          </w:tcPr>
          <w:p>
            <w:pPr>
              <w:jc w:val="center"/>
              <w:rPr>
                <w:bCs/>
                <w:sz w:val="18"/>
                <w:szCs w:val="18"/>
              </w:rPr>
            </w:pPr>
          </w:p>
        </w:tc>
        <w:tc>
          <w:tcPr>
            <w:tcW w:w="955" w:type="dxa"/>
            <w:vAlign w:val="center"/>
          </w:tcPr>
          <w:p>
            <w:pPr>
              <w:jc w:val="center"/>
              <w:rPr>
                <w:bCs/>
                <w:sz w:val="18"/>
                <w:szCs w:val="18"/>
              </w:rPr>
            </w:pPr>
            <w:r>
              <w:rPr>
                <w:bCs/>
                <w:sz w:val="18"/>
                <w:szCs w:val="18"/>
              </w:rPr>
              <w:t>1.5</w:t>
            </w:r>
          </w:p>
        </w:tc>
        <w:tc>
          <w:tcPr>
            <w:tcW w:w="785" w:type="dxa"/>
            <w:vMerge w:val="continue"/>
          </w:tcPr>
          <w:p>
            <w:pPr>
              <w:rPr>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0" w:type="dxa"/>
            <w:vAlign w:val="center"/>
          </w:tcPr>
          <w:p>
            <w:pPr>
              <w:jc w:val="center"/>
              <w:rPr>
                <w:bCs/>
                <w:sz w:val="18"/>
                <w:szCs w:val="18"/>
              </w:rPr>
            </w:pPr>
            <w:r>
              <w:rPr>
                <w:bCs/>
                <w:sz w:val="18"/>
                <w:szCs w:val="18"/>
              </w:rPr>
              <w:t>67</w:t>
            </w:r>
          </w:p>
        </w:tc>
        <w:tc>
          <w:tcPr>
            <w:tcW w:w="1020" w:type="dxa"/>
            <w:vAlign w:val="center"/>
          </w:tcPr>
          <w:p>
            <w:pPr>
              <w:jc w:val="center"/>
              <w:rPr>
                <w:bCs/>
                <w:sz w:val="18"/>
                <w:szCs w:val="18"/>
              </w:rPr>
            </w:pPr>
            <w:r>
              <w:rPr>
                <w:bCs/>
                <w:sz w:val="18"/>
                <w:szCs w:val="18"/>
              </w:rPr>
              <w:t>67.5</w:t>
            </w:r>
          </w:p>
        </w:tc>
        <w:tc>
          <w:tcPr>
            <w:tcW w:w="708" w:type="dxa"/>
            <w:vMerge w:val="continue"/>
            <w:vAlign w:val="center"/>
          </w:tcPr>
          <w:p>
            <w:pPr>
              <w:jc w:val="center"/>
              <w:rPr>
                <w:bCs/>
                <w:sz w:val="18"/>
                <w:szCs w:val="18"/>
              </w:rPr>
            </w:pPr>
          </w:p>
        </w:tc>
        <w:tc>
          <w:tcPr>
            <w:tcW w:w="1077" w:type="dxa"/>
            <w:vAlign w:val="center"/>
          </w:tcPr>
          <w:p>
            <w:pPr>
              <w:jc w:val="center"/>
              <w:rPr>
                <w:bCs/>
                <w:sz w:val="18"/>
                <w:szCs w:val="18"/>
              </w:rPr>
            </w:pPr>
            <w:r>
              <w:rPr>
                <w:bCs/>
                <w:sz w:val="18"/>
                <w:szCs w:val="18"/>
              </w:rPr>
              <w:t>65.3</w:t>
            </w:r>
          </w:p>
        </w:tc>
        <w:tc>
          <w:tcPr>
            <w:tcW w:w="645" w:type="dxa"/>
            <w:vMerge w:val="continue"/>
            <w:vAlign w:val="center"/>
          </w:tcPr>
          <w:p>
            <w:pPr>
              <w:jc w:val="center"/>
              <w:rPr>
                <w:bCs/>
                <w:sz w:val="18"/>
                <w:szCs w:val="18"/>
              </w:rPr>
            </w:pPr>
          </w:p>
        </w:tc>
        <w:tc>
          <w:tcPr>
            <w:tcW w:w="960" w:type="dxa"/>
            <w:vAlign w:val="center"/>
          </w:tcPr>
          <w:p>
            <w:pPr>
              <w:jc w:val="center"/>
              <w:rPr>
                <w:bCs/>
                <w:sz w:val="18"/>
                <w:szCs w:val="18"/>
              </w:rPr>
            </w:pPr>
            <w:r>
              <w:rPr>
                <w:bCs/>
                <w:sz w:val="18"/>
                <w:szCs w:val="18"/>
              </w:rPr>
              <w:t>19.0</w:t>
            </w:r>
          </w:p>
        </w:tc>
        <w:tc>
          <w:tcPr>
            <w:tcW w:w="750" w:type="dxa"/>
            <w:vMerge w:val="continue"/>
            <w:vAlign w:val="center"/>
          </w:tcPr>
          <w:p>
            <w:pPr>
              <w:jc w:val="center"/>
              <w:rPr>
                <w:bCs/>
                <w:sz w:val="18"/>
                <w:szCs w:val="18"/>
              </w:rPr>
            </w:pPr>
          </w:p>
        </w:tc>
        <w:tc>
          <w:tcPr>
            <w:tcW w:w="645" w:type="dxa"/>
            <w:vMerge w:val="continue"/>
            <w:vAlign w:val="center"/>
          </w:tcPr>
          <w:p>
            <w:pPr>
              <w:jc w:val="center"/>
              <w:rPr>
                <w:bCs/>
                <w:sz w:val="18"/>
                <w:szCs w:val="18"/>
              </w:rPr>
            </w:pPr>
          </w:p>
        </w:tc>
        <w:tc>
          <w:tcPr>
            <w:tcW w:w="600" w:type="dxa"/>
            <w:vMerge w:val="continue"/>
            <w:vAlign w:val="center"/>
          </w:tcPr>
          <w:p>
            <w:pPr>
              <w:jc w:val="center"/>
              <w:rPr>
                <w:bCs/>
                <w:sz w:val="18"/>
                <w:szCs w:val="18"/>
              </w:rPr>
            </w:pPr>
          </w:p>
        </w:tc>
        <w:tc>
          <w:tcPr>
            <w:tcW w:w="630" w:type="dxa"/>
            <w:vMerge w:val="continue"/>
            <w:vAlign w:val="center"/>
          </w:tcPr>
          <w:p>
            <w:pPr>
              <w:jc w:val="center"/>
              <w:rPr>
                <w:bCs/>
                <w:sz w:val="18"/>
                <w:szCs w:val="18"/>
              </w:rPr>
            </w:pPr>
          </w:p>
        </w:tc>
        <w:tc>
          <w:tcPr>
            <w:tcW w:w="675" w:type="dxa"/>
            <w:vMerge w:val="continue"/>
            <w:vAlign w:val="center"/>
          </w:tcPr>
          <w:p>
            <w:pPr>
              <w:jc w:val="center"/>
              <w:rPr>
                <w:bCs/>
                <w:sz w:val="18"/>
                <w:szCs w:val="18"/>
              </w:rPr>
            </w:pPr>
          </w:p>
        </w:tc>
        <w:tc>
          <w:tcPr>
            <w:tcW w:w="955" w:type="dxa"/>
            <w:vAlign w:val="center"/>
          </w:tcPr>
          <w:p>
            <w:pPr>
              <w:jc w:val="center"/>
              <w:rPr>
                <w:bCs/>
                <w:sz w:val="18"/>
                <w:szCs w:val="18"/>
              </w:rPr>
            </w:pPr>
            <w:r>
              <w:rPr>
                <w:bCs/>
                <w:sz w:val="18"/>
                <w:szCs w:val="18"/>
              </w:rPr>
              <w:t>1.6</w:t>
            </w:r>
          </w:p>
        </w:tc>
        <w:tc>
          <w:tcPr>
            <w:tcW w:w="785" w:type="dxa"/>
            <w:vMerge w:val="continue"/>
          </w:tcPr>
          <w:p>
            <w:pPr>
              <w:rPr>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0" w:type="dxa"/>
            <w:vAlign w:val="center"/>
          </w:tcPr>
          <w:p>
            <w:pPr>
              <w:jc w:val="center"/>
              <w:rPr>
                <w:bCs/>
                <w:sz w:val="18"/>
                <w:szCs w:val="18"/>
              </w:rPr>
            </w:pPr>
            <w:r>
              <w:rPr>
                <w:bCs/>
                <w:sz w:val="18"/>
                <w:szCs w:val="18"/>
              </w:rPr>
              <w:t>70</w:t>
            </w:r>
          </w:p>
        </w:tc>
        <w:tc>
          <w:tcPr>
            <w:tcW w:w="1020" w:type="dxa"/>
            <w:vAlign w:val="center"/>
          </w:tcPr>
          <w:p>
            <w:pPr>
              <w:jc w:val="center"/>
              <w:rPr>
                <w:bCs/>
                <w:sz w:val="18"/>
                <w:szCs w:val="18"/>
              </w:rPr>
            </w:pPr>
            <w:r>
              <w:rPr>
                <w:bCs/>
                <w:sz w:val="18"/>
                <w:szCs w:val="18"/>
              </w:rPr>
              <w:t>70.0</w:t>
            </w:r>
          </w:p>
        </w:tc>
        <w:tc>
          <w:tcPr>
            <w:tcW w:w="708" w:type="dxa"/>
            <w:vMerge w:val="continue"/>
            <w:vAlign w:val="center"/>
          </w:tcPr>
          <w:p>
            <w:pPr>
              <w:jc w:val="center"/>
              <w:rPr>
                <w:bCs/>
                <w:sz w:val="18"/>
                <w:szCs w:val="18"/>
              </w:rPr>
            </w:pPr>
          </w:p>
        </w:tc>
        <w:tc>
          <w:tcPr>
            <w:tcW w:w="1077" w:type="dxa"/>
            <w:vAlign w:val="center"/>
          </w:tcPr>
          <w:p>
            <w:pPr>
              <w:jc w:val="center"/>
              <w:rPr>
                <w:bCs/>
                <w:sz w:val="18"/>
                <w:szCs w:val="18"/>
              </w:rPr>
            </w:pPr>
            <w:r>
              <w:rPr>
                <w:bCs/>
                <w:sz w:val="18"/>
                <w:szCs w:val="18"/>
              </w:rPr>
              <w:t>68.3</w:t>
            </w:r>
          </w:p>
        </w:tc>
        <w:tc>
          <w:tcPr>
            <w:tcW w:w="645" w:type="dxa"/>
            <w:vMerge w:val="restart"/>
            <w:vAlign w:val="center"/>
          </w:tcPr>
          <w:p>
            <w:pPr>
              <w:jc w:val="center"/>
              <w:rPr>
                <w:bCs/>
                <w:sz w:val="18"/>
                <w:szCs w:val="18"/>
              </w:rPr>
            </w:pPr>
            <w:r>
              <w:rPr>
                <w:bCs/>
                <w:sz w:val="18"/>
                <w:szCs w:val="18"/>
              </w:rPr>
              <w:t>0.45</w:t>
            </w:r>
          </w:p>
        </w:tc>
        <w:tc>
          <w:tcPr>
            <w:tcW w:w="960" w:type="dxa"/>
            <w:vAlign w:val="center"/>
          </w:tcPr>
          <w:p>
            <w:pPr>
              <w:jc w:val="center"/>
              <w:rPr>
                <w:bCs/>
                <w:sz w:val="18"/>
                <w:szCs w:val="18"/>
              </w:rPr>
            </w:pPr>
            <w:r>
              <w:rPr>
                <w:bCs/>
                <w:sz w:val="18"/>
                <w:szCs w:val="18"/>
              </w:rPr>
              <w:t>15.3</w:t>
            </w:r>
          </w:p>
        </w:tc>
        <w:tc>
          <w:tcPr>
            <w:tcW w:w="750" w:type="dxa"/>
            <w:vMerge w:val="continue"/>
            <w:vAlign w:val="center"/>
          </w:tcPr>
          <w:p>
            <w:pPr>
              <w:jc w:val="center"/>
              <w:rPr>
                <w:bCs/>
                <w:sz w:val="18"/>
                <w:szCs w:val="18"/>
              </w:rPr>
            </w:pPr>
          </w:p>
        </w:tc>
        <w:tc>
          <w:tcPr>
            <w:tcW w:w="645" w:type="dxa"/>
            <w:vMerge w:val="continue"/>
            <w:vAlign w:val="center"/>
          </w:tcPr>
          <w:p>
            <w:pPr>
              <w:jc w:val="center"/>
              <w:rPr>
                <w:bCs/>
                <w:sz w:val="18"/>
                <w:szCs w:val="18"/>
              </w:rPr>
            </w:pPr>
          </w:p>
        </w:tc>
        <w:tc>
          <w:tcPr>
            <w:tcW w:w="600" w:type="dxa"/>
            <w:vMerge w:val="continue"/>
            <w:vAlign w:val="center"/>
          </w:tcPr>
          <w:p>
            <w:pPr>
              <w:jc w:val="center"/>
              <w:rPr>
                <w:bCs/>
                <w:sz w:val="18"/>
                <w:szCs w:val="18"/>
              </w:rPr>
            </w:pPr>
          </w:p>
        </w:tc>
        <w:tc>
          <w:tcPr>
            <w:tcW w:w="630" w:type="dxa"/>
            <w:vMerge w:val="continue"/>
            <w:vAlign w:val="center"/>
          </w:tcPr>
          <w:p>
            <w:pPr>
              <w:jc w:val="center"/>
              <w:rPr>
                <w:bCs/>
                <w:sz w:val="18"/>
                <w:szCs w:val="18"/>
              </w:rPr>
            </w:pPr>
          </w:p>
        </w:tc>
        <w:tc>
          <w:tcPr>
            <w:tcW w:w="675" w:type="dxa"/>
            <w:vMerge w:val="continue"/>
            <w:vAlign w:val="center"/>
          </w:tcPr>
          <w:p>
            <w:pPr>
              <w:jc w:val="center"/>
              <w:rPr>
                <w:bCs/>
                <w:sz w:val="18"/>
                <w:szCs w:val="18"/>
              </w:rPr>
            </w:pPr>
          </w:p>
        </w:tc>
        <w:tc>
          <w:tcPr>
            <w:tcW w:w="955" w:type="dxa"/>
            <w:vAlign w:val="center"/>
          </w:tcPr>
          <w:p>
            <w:pPr>
              <w:jc w:val="center"/>
              <w:rPr>
                <w:bCs/>
                <w:sz w:val="18"/>
                <w:szCs w:val="18"/>
              </w:rPr>
            </w:pPr>
            <w:r>
              <w:rPr>
                <w:bCs/>
                <w:sz w:val="18"/>
                <w:szCs w:val="18"/>
              </w:rPr>
              <w:t>1.6</w:t>
            </w:r>
          </w:p>
        </w:tc>
        <w:tc>
          <w:tcPr>
            <w:tcW w:w="785" w:type="dxa"/>
            <w:vMerge w:val="continue"/>
          </w:tcPr>
          <w:p>
            <w:pPr>
              <w:rPr>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0" w:type="dxa"/>
            <w:vAlign w:val="center"/>
          </w:tcPr>
          <w:p>
            <w:pPr>
              <w:jc w:val="center"/>
              <w:rPr>
                <w:bCs/>
                <w:sz w:val="18"/>
                <w:szCs w:val="18"/>
              </w:rPr>
            </w:pPr>
            <w:r>
              <w:rPr>
                <w:bCs/>
                <w:sz w:val="18"/>
                <w:szCs w:val="18"/>
              </w:rPr>
              <w:t>78</w:t>
            </w:r>
          </w:p>
        </w:tc>
        <w:tc>
          <w:tcPr>
            <w:tcW w:w="1020" w:type="dxa"/>
            <w:vAlign w:val="center"/>
          </w:tcPr>
          <w:p>
            <w:pPr>
              <w:jc w:val="center"/>
              <w:rPr>
                <w:bCs/>
                <w:sz w:val="18"/>
                <w:szCs w:val="18"/>
              </w:rPr>
            </w:pPr>
            <w:r>
              <w:rPr>
                <w:bCs/>
                <w:sz w:val="18"/>
                <w:szCs w:val="18"/>
              </w:rPr>
              <w:t>78.0</w:t>
            </w:r>
          </w:p>
        </w:tc>
        <w:tc>
          <w:tcPr>
            <w:tcW w:w="708" w:type="dxa"/>
            <w:vMerge w:val="continue"/>
            <w:vAlign w:val="center"/>
          </w:tcPr>
          <w:p>
            <w:pPr>
              <w:jc w:val="center"/>
              <w:rPr>
                <w:bCs/>
                <w:sz w:val="18"/>
                <w:szCs w:val="18"/>
              </w:rPr>
            </w:pPr>
          </w:p>
        </w:tc>
        <w:tc>
          <w:tcPr>
            <w:tcW w:w="1077" w:type="dxa"/>
            <w:vAlign w:val="center"/>
          </w:tcPr>
          <w:p>
            <w:pPr>
              <w:jc w:val="center"/>
              <w:rPr>
                <w:bCs/>
                <w:sz w:val="18"/>
                <w:szCs w:val="18"/>
              </w:rPr>
            </w:pPr>
            <w:r>
              <w:rPr>
                <w:bCs/>
                <w:sz w:val="18"/>
                <w:szCs w:val="18"/>
              </w:rPr>
              <w:t>75.6</w:t>
            </w:r>
          </w:p>
        </w:tc>
        <w:tc>
          <w:tcPr>
            <w:tcW w:w="645" w:type="dxa"/>
            <w:vMerge w:val="continue"/>
            <w:vAlign w:val="center"/>
          </w:tcPr>
          <w:p>
            <w:pPr>
              <w:jc w:val="center"/>
              <w:rPr>
                <w:bCs/>
                <w:sz w:val="18"/>
                <w:szCs w:val="18"/>
              </w:rPr>
            </w:pPr>
          </w:p>
        </w:tc>
        <w:tc>
          <w:tcPr>
            <w:tcW w:w="960" w:type="dxa"/>
            <w:vAlign w:val="center"/>
          </w:tcPr>
          <w:p>
            <w:pPr>
              <w:jc w:val="center"/>
              <w:rPr>
                <w:bCs/>
                <w:sz w:val="18"/>
                <w:szCs w:val="18"/>
              </w:rPr>
            </w:pPr>
            <w:r>
              <w:rPr>
                <w:bCs/>
                <w:sz w:val="18"/>
                <w:szCs w:val="18"/>
              </w:rPr>
              <w:t>19.1</w:t>
            </w:r>
          </w:p>
        </w:tc>
        <w:tc>
          <w:tcPr>
            <w:tcW w:w="750" w:type="dxa"/>
            <w:vMerge w:val="continue"/>
            <w:vAlign w:val="center"/>
          </w:tcPr>
          <w:p>
            <w:pPr>
              <w:jc w:val="center"/>
              <w:rPr>
                <w:bCs/>
                <w:sz w:val="18"/>
                <w:szCs w:val="18"/>
              </w:rPr>
            </w:pPr>
          </w:p>
        </w:tc>
        <w:tc>
          <w:tcPr>
            <w:tcW w:w="645" w:type="dxa"/>
            <w:vMerge w:val="continue"/>
            <w:vAlign w:val="center"/>
          </w:tcPr>
          <w:p>
            <w:pPr>
              <w:jc w:val="center"/>
              <w:rPr>
                <w:bCs/>
                <w:sz w:val="18"/>
                <w:szCs w:val="18"/>
              </w:rPr>
            </w:pPr>
          </w:p>
        </w:tc>
        <w:tc>
          <w:tcPr>
            <w:tcW w:w="600" w:type="dxa"/>
            <w:vMerge w:val="continue"/>
            <w:vAlign w:val="center"/>
          </w:tcPr>
          <w:p>
            <w:pPr>
              <w:jc w:val="center"/>
              <w:rPr>
                <w:bCs/>
                <w:sz w:val="18"/>
                <w:szCs w:val="18"/>
              </w:rPr>
            </w:pPr>
          </w:p>
        </w:tc>
        <w:tc>
          <w:tcPr>
            <w:tcW w:w="630" w:type="dxa"/>
            <w:vMerge w:val="continue"/>
            <w:vAlign w:val="center"/>
          </w:tcPr>
          <w:p>
            <w:pPr>
              <w:jc w:val="center"/>
              <w:rPr>
                <w:bCs/>
                <w:sz w:val="18"/>
                <w:szCs w:val="18"/>
              </w:rPr>
            </w:pPr>
          </w:p>
        </w:tc>
        <w:tc>
          <w:tcPr>
            <w:tcW w:w="675" w:type="dxa"/>
            <w:vMerge w:val="continue"/>
            <w:vAlign w:val="center"/>
          </w:tcPr>
          <w:p>
            <w:pPr>
              <w:jc w:val="center"/>
              <w:rPr>
                <w:bCs/>
                <w:sz w:val="18"/>
                <w:szCs w:val="18"/>
              </w:rPr>
            </w:pPr>
          </w:p>
        </w:tc>
        <w:tc>
          <w:tcPr>
            <w:tcW w:w="955" w:type="dxa"/>
            <w:vAlign w:val="center"/>
          </w:tcPr>
          <w:p>
            <w:pPr>
              <w:jc w:val="center"/>
              <w:rPr>
                <w:bCs/>
                <w:sz w:val="18"/>
                <w:szCs w:val="18"/>
              </w:rPr>
            </w:pPr>
            <w:r>
              <w:rPr>
                <w:bCs/>
                <w:sz w:val="18"/>
                <w:szCs w:val="18"/>
              </w:rPr>
              <w:t>1.6</w:t>
            </w:r>
          </w:p>
        </w:tc>
        <w:tc>
          <w:tcPr>
            <w:tcW w:w="785" w:type="dxa"/>
            <w:vMerge w:val="continue"/>
          </w:tcPr>
          <w:p>
            <w:pPr>
              <w:rPr>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0" w:type="dxa"/>
            <w:vAlign w:val="center"/>
          </w:tcPr>
          <w:p>
            <w:pPr>
              <w:jc w:val="center"/>
              <w:rPr>
                <w:bCs/>
                <w:sz w:val="18"/>
                <w:szCs w:val="18"/>
              </w:rPr>
            </w:pPr>
            <w:r>
              <w:rPr>
                <w:bCs/>
                <w:sz w:val="18"/>
                <w:szCs w:val="18"/>
              </w:rPr>
              <w:t>86</w:t>
            </w:r>
          </w:p>
        </w:tc>
        <w:tc>
          <w:tcPr>
            <w:tcW w:w="1020" w:type="dxa"/>
            <w:vAlign w:val="center"/>
          </w:tcPr>
          <w:p>
            <w:pPr>
              <w:jc w:val="center"/>
              <w:rPr>
                <w:bCs/>
                <w:sz w:val="18"/>
                <w:szCs w:val="18"/>
              </w:rPr>
            </w:pPr>
            <w:r>
              <w:rPr>
                <w:bCs/>
                <w:sz w:val="18"/>
                <w:szCs w:val="18"/>
              </w:rPr>
              <w:t>86.7</w:t>
            </w:r>
          </w:p>
        </w:tc>
        <w:tc>
          <w:tcPr>
            <w:tcW w:w="708" w:type="dxa"/>
            <w:vMerge w:val="continue"/>
            <w:vAlign w:val="center"/>
          </w:tcPr>
          <w:p>
            <w:pPr>
              <w:jc w:val="center"/>
              <w:rPr>
                <w:bCs/>
                <w:sz w:val="18"/>
                <w:szCs w:val="18"/>
              </w:rPr>
            </w:pPr>
          </w:p>
        </w:tc>
        <w:tc>
          <w:tcPr>
            <w:tcW w:w="1077" w:type="dxa"/>
            <w:vAlign w:val="center"/>
          </w:tcPr>
          <w:p>
            <w:pPr>
              <w:jc w:val="center"/>
              <w:rPr>
                <w:bCs/>
                <w:sz w:val="18"/>
                <w:szCs w:val="18"/>
              </w:rPr>
            </w:pPr>
            <w:r>
              <w:rPr>
                <w:bCs/>
                <w:sz w:val="18"/>
                <w:szCs w:val="18"/>
              </w:rPr>
              <w:t>84.6</w:t>
            </w:r>
          </w:p>
        </w:tc>
        <w:tc>
          <w:tcPr>
            <w:tcW w:w="645" w:type="dxa"/>
            <w:vMerge w:val="continue"/>
            <w:vAlign w:val="center"/>
          </w:tcPr>
          <w:p>
            <w:pPr>
              <w:jc w:val="center"/>
              <w:rPr>
                <w:bCs/>
                <w:sz w:val="18"/>
                <w:szCs w:val="18"/>
              </w:rPr>
            </w:pPr>
          </w:p>
        </w:tc>
        <w:tc>
          <w:tcPr>
            <w:tcW w:w="960" w:type="dxa"/>
            <w:vAlign w:val="center"/>
          </w:tcPr>
          <w:p>
            <w:pPr>
              <w:jc w:val="center"/>
              <w:rPr>
                <w:bCs/>
                <w:sz w:val="18"/>
                <w:szCs w:val="18"/>
              </w:rPr>
            </w:pPr>
            <w:r>
              <w:rPr>
                <w:bCs/>
                <w:sz w:val="18"/>
                <w:szCs w:val="18"/>
              </w:rPr>
              <w:t>16.6</w:t>
            </w:r>
          </w:p>
        </w:tc>
        <w:tc>
          <w:tcPr>
            <w:tcW w:w="750" w:type="dxa"/>
            <w:vMerge w:val="continue"/>
            <w:vAlign w:val="center"/>
          </w:tcPr>
          <w:p>
            <w:pPr>
              <w:jc w:val="center"/>
              <w:rPr>
                <w:bCs/>
                <w:sz w:val="18"/>
                <w:szCs w:val="18"/>
              </w:rPr>
            </w:pPr>
          </w:p>
        </w:tc>
        <w:tc>
          <w:tcPr>
            <w:tcW w:w="645" w:type="dxa"/>
            <w:vMerge w:val="continue"/>
            <w:vAlign w:val="center"/>
          </w:tcPr>
          <w:p>
            <w:pPr>
              <w:jc w:val="center"/>
              <w:rPr>
                <w:bCs/>
                <w:sz w:val="18"/>
                <w:szCs w:val="18"/>
              </w:rPr>
            </w:pPr>
          </w:p>
        </w:tc>
        <w:tc>
          <w:tcPr>
            <w:tcW w:w="600" w:type="dxa"/>
            <w:vMerge w:val="continue"/>
            <w:vAlign w:val="center"/>
          </w:tcPr>
          <w:p>
            <w:pPr>
              <w:jc w:val="center"/>
              <w:rPr>
                <w:bCs/>
                <w:sz w:val="18"/>
                <w:szCs w:val="18"/>
              </w:rPr>
            </w:pPr>
          </w:p>
        </w:tc>
        <w:tc>
          <w:tcPr>
            <w:tcW w:w="630" w:type="dxa"/>
            <w:vMerge w:val="continue"/>
            <w:vAlign w:val="center"/>
          </w:tcPr>
          <w:p>
            <w:pPr>
              <w:jc w:val="center"/>
              <w:rPr>
                <w:bCs/>
                <w:sz w:val="18"/>
                <w:szCs w:val="18"/>
              </w:rPr>
            </w:pPr>
          </w:p>
        </w:tc>
        <w:tc>
          <w:tcPr>
            <w:tcW w:w="675" w:type="dxa"/>
            <w:vMerge w:val="continue"/>
            <w:vAlign w:val="center"/>
          </w:tcPr>
          <w:p>
            <w:pPr>
              <w:jc w:val="center"/>
              <w:rPr>
                <w:bCs/>
                <w:sz w:val="18"/>
                <w:szCs w:val="18"/>
              </w:rPr>
            </w:pPr>
          </w:p>
        </w:tc>
        <w:tc>
          <w:tcPr>
            <w:tcW w:w="955" w:type="dxa"/>
            <w:vAlign w:val="center"/>
          </w:tcPr>
          <w:p>
            <w:pPr>
              <w:jc w:val="center"/>
              <w:rPr>
                <w:bCs/>
                <w:sz w:val="18"/>
                <w:szCs w:val="18"/>
              </w:rPr>
            </w:pPr>
            <w:r>
              <w:rPr>
                <w:bCs/>
                <w:sz w:val="18"/>
                <w:szCs w:val="18"/>
              </w:rPr>
              <w:t>1.6</w:t>
            </w:r>
          </w:p>
        </w:tc>
        <w:tc>
          <w:tcPr>
            <w:tcW w:w="785" w:type="dxa"/>
            <w:vMerge w:val="continue"/>
          </w:tcPr>
          <w:p>
            <w:pPr>
              <w:rPr>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0" w:type="dxa"/>
            <w:vAlign w:val="center"/>
          </w:tcPr>
          <w:p>
            <w:pPr>
              <w:jc w:val="center"/>
              <w:rPr>
                <w:bCs/>
                <w:sz w:val="18"/>
                <w:szCs w:val="18"/>
              </w:rPr>
            </w:pPr>
            <w:r>
              <w:rPr>
                <w:bCs/>
                <w:sz w:val="18"/>
                <w:szCs w:val="18"/>
              </w:rPr>
              <w:t>100</w:t>
            </w:r>
          </w:p>
        </w:tc>
        <w:tc>
          <w:tcPr>
            <w:tcW w:w="1020" w:type="dxa"/>
            <w:vAlign w:val="center"/>
          </w:tcPr>
          <w:p>
            <w:pPr>
              <w:jc w:val="center"/>
              <w:rPr>
                <w:bCs/>
                <w:sz w:val="18"/>
                <w:szCs w:val="18"/>
              </w:rPr>
            </w:pPr>
            <w:r>
              <w:rPr>
                <w:bCs/>
                <w:sz w:val="18"/>
                <w:szCs w:val="18"/>
              </w:rPr>
              <w:t>98.6</w:t>
            </w:r>
          </w:p>
        </w:tc>
        <w:tc>
          <w:tcPr>
            <w:tcW w:w="708" w:type="dxa"/>
            <w:vMerge w:val="continue"/>
            <w:vAlign w:val="center"/>
          </w:tcPr>
          <w:p>
            <w:pPr>
              <w:jc w:val="center"/>
              <w:rPr>
                <w:bCs/>
                <w:sz w:val="18"/>
                <w:szCs w:val="18"/>
              </w:rPr>
            </w:pPr>
          </w:p>
        </w:tc>
        <w:tc>
          <w:tcPr>
            <w:tcW w:w="1077" w:type="dxa"/>
            <w:vAlign w:val="center"/>
          </w:tcPr>
          <w:p>
            <w:pPr>
              <w:jc w:val="center"/>
              <w:rPr>
                <w:bCs/>
                <w:sz w:val="18"/>
                <w:szCs w:val="18"/>
              </w:rPr>
            </w:pPr>
            <w:r>
              <w:rPr>
                <w:bCs/>
                <w:sz w:val="18"/>
                <w:szCs w:val="18"/>
              </w:rPr>
              <w:t>95.9</w:t>
            </w:r>
          </w:p>
        </w:tc>
        <w:tc>
          <w:tcPr>
            <w:tcW w:w="645" w:type="dxa"/>
            <w:vMerge w:val="continue"/>
            <w:vAlign w:val="center"/>
          </w:tcPr>
          <w:p>
            <w:pPr>
              <w:jc w:val="center"/>
              <w:rPr>
                <w:bCs/>
                <w:sz w:val="18"/>
                <w:szCs w:val="18"/>
              </w:rPr>
            </w:pPr>
          </w:p>
        </w:tc>
        <w:tc>
          <w:tcPr>
            <w:tcW w:w="960" w:type="dxa"/>
            <w:vAlign w:val="center"/>
          </w:tcPr>
          <w:p>
            <w:pPr>
              <w:jc w:val="center"/>
              <w:rPr>
                <w:bCs/>
                <w:sz w:val="18"/>
                <w:szCs w:val="18"/>
              </w:rPr>
            </w:pPr>
            <w:r>
              <w:rPr>
                <w:bCs/>
                <w:sz w:val="18"/>
                <w:szCs w:val="18"/>
              </w:rPr>
              <w:t>14.8</w:t>
            </w:r>
          </w:p>
        </w:tc>
        <w:tc>
          <w:tcPr>
            <w:tcW w:w="750" w:type="dxa"/>
            <w:vMerge w:val="continue"/>
            <w:vAlign w:val="center"/>
          </w:tcPr>
          <w:p>
            <w:pPr>
              <w:jc w:val="center"/>
              <w:rPr>
                <w:bCs/>
                <w:sz w:val="18"/>
                <w:szCs w:val="18"/>
              </w:rPr>
            </w:pPr>
          </w:p>
        </w:tc>
        <w:tc>
          <w:tcPr>
            <w:tcW w:w="645" w:type="dxa"/>
            <w:vMerge w:val="continue"/>
            <w:vAlign w:val="center"/>
          </w:tcPr>
          <w:p>
            <w:pPr>
              <w:jc w:val="center"/>
              <w:rPr>
                <w:bCs/>
                <w:sz w:val="18"/>
                <w:szCs w:val="18"/>
              </w:rPr>
            </w:pPr>
          </w:p>
        </w:tc>
        <w:tc>
          <w:tcPr>
            <w:tcW w:w="600" w:type="dxa"/>
            <w:vMerge w:val="continue"/>
            <w:vAlign w:val="center"/>
          </w:tcPr>
          <w:p>
            <w:pPr>
              <w:jc w:val="center"/>
              <w:rPr>
                <w:bCs/>
                <w:sz w:val="18"/>
                <w:szCs w:val="18"/>
              </w:rPr>
            </w:pPr>
          </w:p>
        </w:tc>
        <w:tc>
          <w:tcPr>
            <w:tcW w:w="630" w:type="dxa"/>
            <w:vMerge w:val="continue"/>
            <w:vAlign w:val="center"/>
          </w:tcPr>
          <w:p>
            <w:pPr>
              <w:jc w:val="center"/>
              <w:rPr>
                <w:bCs/>
                <w:sz w:val="18"/>
                <w:szCs w:val="18"/>
              </w:rPr>
            </w:pPr>
          </w:p>
        </w:tc>
        <w:tc>
          <w:tcPr>
            <w:tcW w:w="675" w:type="dxa"/>
            <w:vMerge w:val="continue"/>
            <w:vAlign w:val="center"/>
          </w:tcPr>
          <w:p>
            <w:pPr>
              <w:jc w:val="center"/>
              <w:rPr>
                <w:bCs/>
                <w:sz w:val="18"/>
                <w:szCs w:val="18"/>
              </w:rPr>
            </w:pPr>
          </w:p>
        </w:tc>
        <w:tc>
          <w:tcPr>
            <w:tcW w:w="955" w:type="dxa"/>
            <w:vAlign w:val="center"/>
          </w:tcPr>
          <w:p>
            <w:pPr>
              <w:jc w:val="center"/>
              <w:rPr>
                <w:bCs/>
                <w:sz w:val="18"/>
                <w:szCs w:val="18"/>
              </w:rPr>
            </w:pPr>
            <w:r>
              <w:rPr>
                <w:bCs/>
                <w:sz w:val="18"/>
                <w:szCs w:val="18"/>
              </w:rPr>
              <w:t>1.6</w:t>
            </w:r>
          </w:p>
        </w:tc>
        <w:tc>
          <w:tcPr>
            <w:tcW w:w="785" w:type="dxa"/>
            <w:vMerge w:val="continue"/>
          </w:tcPr>
          <w:p>
            <w:pPr>
              <w:rPr>
                <w:b/>
                <w:sz w:val="18"/>
                <w:szCs w:val="18"/>
              </w:rPr>
            </w:pPr>
          </w:p>
        </w:tc>
      </w:tr>
    </w:tbl>
    <w:p>
      <w:pPr>
        <w:pStyle w:val="10"/>
        <w:numPr>
          <w:ilvl w:val="1"/>
          <w:numId w:val="2"/>
        </w:numPr>
        <w:spacing w:line="360" w:lineRule="auto"/>
        <w:ind w:firstLineChars="0"/>
        <w:rPr>
          <w:b/>
          <w:sz w:val="24"/>
        </w:rPr>
      </w:pPr>
      <w:r>
        <w:rPr>
          <w:rFonts w:hint="eastAsia"/>
          <w:b/>
          <w:sz w:val="24"/>
        </w:rPr>
        <w:t>外观质量要求</w:t>
      </w:r>
    </w:p>
    <w:p>
      <w:pPr>
        <w:pStyle w:val="14"/>
        <w:numPr>
          <w:ilvl w:val="0"/>
          <w:numId w:val="0"/>
        </w:numPr>
        <w:spacing w:before="0" w:beforeLines="0" w:after="0" w:afterLines="0" w:line="360" w:lineRule="auto"/>
        <w:rPr>
          <w:rFonts w:ascii="Times New Roman" w:eastAsia="宋体"/>
        </w:rPr>
      </w:pPr>
      <w:r>
        <w:rPr>
          <w:rFonts w:ascii="Times New Roman" w:eastAsia="宋体"/>
        </w:rPr>
        <w:t>2.4.1</w:t>
      </w:r>
      <w:r>
        <w:rPr>
          <w:rFonts w:hint="eastAsia" w:ascii="Times New Roman" w:eastAsia="宋体"/>
        </w:rPr>
        <w:t>　盖形状完整，无明显碰凹皱摺，不得沾有污物。</w:t>
      </w:r>
    </w:p>
    <w:p>
      <w:pPr>
        <w:pStyle w:val="14"/>
        <w:numPr>
          <w:ilvl w:val="0"/>
          <w:numId w:val="0"/>
        </w:numPr>
        <w:spacing w:before="0" w:beforeLines="0" w:after="0" w:afterLines="0" w:line="360" w:lineRule="auto"/>
        <w:rPr>
          <w:rFonts w:ascii="Times New Roman" w:eastAsia="宋体"/>
        </w:rPr>
      </w:pPr>
      <w:r>
        <w:rPr>
          <w:rFonts w:ascii="Times New Roman" w:eastAsia="宋体"/>
        </w:rPr>
        <w:t>2.4</w:t>
      </w:r>
      <w:r>
        <w:rPr>
          <w:rFonts w:hint="eastAsia" w:ascii="Times New Roman" w:eastAsia="宋体"/>
        </w:rPr>
        <w:t>.2　盖的螺纹线应清晰，无错位、掉漆、变形、开裂；盖的卷线应卷紧卷实。</w:t>
      </w:r>
    </w:p>
    <w:p>
      <w:pPr>
        <w:pStyle w:val="14"/>
        <w:numPr>
          <w:ilvl w:val="0"/>
          <w:numId w:val="0"/>
        </w:numPr>
        <w:spacing w:before="0" w:beforeLines="0" w:after="0" w:afterLines="0" w:line="360" w:lineRule="auto"/>
        <w:rPr>
          <w:rFonts w:ascii="Times New Roman" w:eastAsia="宋体"/>
        </w:rPr>
      </w:pPr>
      <w:r>
        <w:rPr>
          <w:rFonts w:ascii="Times New Roman" w:eastAsia="宋体"/>
        </w:rPr>
        <w:t>2.4</w:t>
      </w:r>
      <w:r>
        <w:rPr>
          <w:rFonts w:hint="eastAsia" w:ascii="Times New Roman" w:eastAsia="宋体"/>
        </w:rPr>
        <w:t>.3　印刷图案位置正确，印刷图案中心点与盖中心点的偏差不大于1.2 mm。印刷图案清晰，应符合QB/T 1877的相应要求。</w:t>
      </w:r>
    </w:p>
    <w:p>
      <w:pPr>
        <w:pStyle w:val="14"/>
        <w:numPr>
          <w:ilvl w:val="0"/>
          <w:numId w:val="0"/>
        </w:numPr>
        <w:spacing w:before="0" w:beforeLines="0" w:after="0" w:afterLines="0" w:line="360" w:lineRule="auto"/>
        <w:rPr>
          <w:rFonts w:ascii="Times New Roman" w:eastAsia="宋体"/>
        </w:rPr>
      </w:pPr>
      <w:r>
        <w:rPr>
          <w:rFonts w:ascii="Times New Roman" w:eastAsia="宋体"/>
        </w:rPr>
        <w:t>2.4.</w:t>
      </w:r>
      <w:r>
        <w:rPr>
          <w:rFonts w:hint="eastAsia" w:ascii="Times New Roman" w:eastAsia="宋体"/>
        </w:rPr>
        <w:t>4　内壁涂膜不允许有暴露镀层的划伤。</w:t>
      </w:r>
    </w:p>
    <w:p>
      <w:pPr>
        <w:pStyle w:val="14"/>
        <w:numPr>
          <w:ilvl w:val="0"/>
          <w:numId w:val="0"/>
        </w:numPr>
        <w:spacing w:before="0" w:beforeLines="0" w:after="0" w:afterLines="0" w:line="360" w:lineRule="auto"/>
        <w:rPr>
          <w:rFonts w:ascii="Times New Roman" w:eastAsia="宋体"/>
        </w:rPr>
      </w:pPr>
      <w:r>
        <w:rPr>
          <w:rFonts w:ascii="Times New Roman" w:eastAsia="宋体"/>
        </w:rPr>
        <w:t>2.4</w:t>
      </w:r>
      <w:r>
        <w:rPr>
          <w:rFonts w:hint="eastAsia" w:ascii="Times New Roman" w:eastAsia="宋体"/>
        </w:rPr>
        <w:t>.5　密封垫圈表面平整，色泽均匀，无缺损。</w:t>
      </w:r>
    </w:p>
    <w:p>
      <w:pPr>
        <w:spacing w:line="360" w:lineRule="auto"/>
        <w:rPr>
          <w:b/>
          <w:sz w:val="24"/>
        </w:rPr>
      </w:pPr>
      <w:r>
        <w:rPr>
          <w:rFonts w:hint="eastAsia"/>
          <w:b/>
          <w:sz w:val="24"/>
        </w:rPr>
        <w:t>2</w:t>
      </w:r>
      <w:r>
        <w:rPr>
          <w:b/>
          <w:sz w:val="24"/>
        </w:rPr>
        <w:t xml:space="preserve">.5 </w:t>
      </w:r>
      <w:r>
        <w:rPr>
          <w:rFonts w:hint="eastAsia"/>
          <w:b/>
          <w:sz w:val="24"/>
        </w:rPr>
        <w:t>性能要求</w:t>
      </w:r>
    </w:p>
    <w:p>
      <w:pPr>
        <w:spacing w:line="360" w:lineRule="auto"/>
        <w:rPr>
          <w:b/>
          <w:sz w:val="24"/>
        </w:rPr>
      </w:pPr>
      <w:r>
        <w:rPr>
          <w:rFonts w:hint="eastAsia"/>
          <w:b/>
          <w:sz w:val="24"/>
        </w:rPr>
        <w:t>2</w:t>
      </w:r>
      <w:r>
        <w:rPr>
          <w:b/>
          <w:sz w:val="24"/>
        </w:rPr>
        <w:t xml:space="preserve">.5.1 </w:t>
      </w:r>
      <w:r>
        <w:rPr>
          <w:rFonts w:hint="eastAsia"/>
          <w:b/>
          <w:sz w:val="24"/>
        </w:rPr>
        <w:t>外壁涂膜质量要求</w:t>
      </w:r>
    </w:p>
    <w:p>
      <w:pPr>
        <w:pStyle w:val="16"/>
        <w:numPr>
          <w:ilvl w:val="0"/>
          <w:numId w:val="0"/>
        </w:numPr>
        <w:spacing w:before="0" w:beforeLines="0" w:after="0" w:afterLines="0" w:line="360" w:lineRule="auto"/>
        <w:ind w:firstLine="420" w:firstLineChars="200"/>
        <w:rPr>
          <w:rFonts w:ascii="宋体" w:hAnsi="宋体" w:eastAsia="宋体"/>
        </w:rPr>
      </w:pPr>
      <w:r>
        <w:rPr>
          <w:rFonts w:hint="eastAsia" w:ascii="宋体" w:hAnsi="宋体" w:eastAsia="宋体"/>
        </w:rPr>
        <w:t>经试验后涂膜应不褪色，不渗色，不起泡，不脱落，无明显失光。</w:t>
      </w:r>
    </w:p>
    <w:p>
      <w:pPr>
        <w:spacing w:line="360" w:lineRule="auto"/>
        <w:rPr>
          <w:b/>
          <w:sz w:val="24"/>
        </w:rPr>
      </w:pPr>
      <w:r>
        <w:rPr>
          <w:b/>
          <w:sz w:val="24"/>
        </w:rPr>
        <w:t xml:space="preserve">2.5.2 </w:t>
      </w:r>
      <w:r>
        <w:rPr>
          <w:rFonts w:hint="eastAsia"/>
          <w:b/>
          <w:sz w:val="24"/>
        </w:rPr>
        <w:t>内壁涂膜质量要求</w:t>
      </w:r>
    </w:p>
    <w:p>
      <w:pPr>
        <w:pStyle w:val="14"/>
        <w:numPr>
          <w:ilvl w:val="0"/>
          <w:numId w:val="0"/>
        </w:numPr>
        <w:spacing w:before="0" w:beforeLines="0" w:after="0" w:afterLines="0" w:line="360" w:lineRule="auto"/>
        <w:rPr>
          <w:rFonts w:ascii="Times New Roman" w:eastAsia="宋体"/>
        </w:rPr>
      </w:pPr>
      <w:r>
        <w:rPr>
          <w:rFonts w:ascii="Times New Roman" w:eastAsia="宋体"/>
        </w:rPr>
        <w:t>2.5.2.1</w:t>
      </w:r>
      <w:r>
        <w:rPr>
          <w:rFonts w:hint="eastAsia" w:ascii="Times New Roman" w:eastAsia="宋体"/>
        </w:rPr>
        <w:t>　耐腐蚀性</w:t>
      </w:r>
    </w:p>
    <w:p>
      <w:pPr>
        <w:pStyle w:val="16"/>
        <w:numPr>
          <w:ilvl w:val="0"/>
          <w:numId w:val="0"/>
        </w:numPr>
        <w:spacing w:before="0" w:beforeLines="0" w:after="0" w:afterLines="0" w:line="360" w:lineRule="auto"/>
        <w:ind w:firstLine="420" w:firstLineChars="200"/>
        <w:rPr>
          <w:rFonts w:ascii="宋体" w:hAnsi="宋体" w:eastAsia="宋体"/>
        </w:rPr>
      </w:pPr>
      <w:r>
        <w:rPr>
          <w:rFonts w:hint="eastAsia" w:ascii="宋体" w:hAnsi="宋体" w:eastAsia="宋体"/>
        </w:rPr>
        <w:t>经试验后应无连续或成片的点状腐蚀。</w:t>
      </w:r>
    </w:p>
    <w:p>
      <w:pPr>
        <w:pStyle w:val="14"/>
        <w:numPr>
          <w:ilvl w:val="0"/>
          <w:numId w:val="0"/>
        </w:numPr>
        <w:spacing w:before="0" w:beforeLines="0" w:after="0" w:afterLines="0" w:line="360" w:lineRule="auto"/>
        <w:rPr>
          <w:rFonts w:ascii="Times New Roman" w:eastAsia="宋体"/>
        </w:rPr>
      </w:pPr>
      <w:r>
        <w:rPr>
          <w:rFonts w:ascii="Times New Roman" w:eastAsia="宋体"/>
        </w:rPr>
        <w:t>2.5.2.2</w:t>
      </w:r>
      <w:r>
        <w:rPr>
          <w:rFonts w:hint="eastAsia" w:ascii="Times New Roman" w:eastAsia="宋体"/>
        </w:rPr>
        <w:t>　抗酸性</w:t>
      </w:r>
    </w:p>
    <w:p>
      <w:pPr>
        <w:pStyle w:val="16"/>
        <w:numPr>
          <w:ilvl w:val="0"/>
          <w:numId w:val="0"/>
        </w:numPr>
        <w:spacing w:before="0" w:beforeLines="0" w:after="0" w:afterLines="0" w:line="360" w:lineRule="auto"/>
        <w:ind w:firstLine="420" w:firstLineChars="200"/>
        <w:rPr>
          <w:rFonts w:ascii="宋体" w:hAnsi="宋体" w:eastAsia="宋体"/>
        </w:rPr>
      </w:pPr>
      <w:r>
        <w:rPr>
          <w:rFonts w:hint="eastAsia" w:ascii="宋体" w:hAnsi="宋体" w:eastAsia="宋体"/>
        </w:rPr>
        <w:t>经试验后应不变色，不脱落，无腐蚀。无抗酸要求的螺纹盖，此项指标不作要求。</w:t>
      </w:r>
    </w:p>
    <w:p>
      <w:pPr>
        <w:pStyle w:val="14"/>
        <w:numPr>
          <w:ilvl w:val="0"/>
          <w:numId w:val="0"/>
        </w:numPr>
        <w:spacing w:before="0" w:beforeLines="0" w:after="0" w:afterLines="0" w:line="360" w:lineRule="auto"/>
        <w:rPr>
          <w:rFonts w:ascii="Times New Roman" w:eastAsia="宋体"/>
        </w:rPr>
      </w:pPr>
      <w:r>
        <w:rPr>
          <w:rFonts w:ascii="Times New Roman" w:eastAsia="宋体"/>
        </w:rPr>
        <w:t>2.5.2</w:t>
      </w:r>
      <w:r>
        <w:rPr>
          <w:rFonts w:hint="eastAsia" w:ascii="Times New Roman" w:eastAsia="宋体"/>
        </w:rPr>
        <w:t>.3　抗硫性</w:t>
      </w:r>
    </w:p>
    <w:p>
      <w:pPr>
        <w:pStyle w:val="16"/>
        <w:numPr>
          <w:ilvl w:val="0"/>
          <w:numId w:val="0"/>
        </w:numPr>
        <w:spacing w:before="0" w:beforeLines="0" w:after="0" w:afterLines="0" w:line="360" w:lineRule="auto"/>
        <w:ind w:firstLine="420" w:firstLineChars="200"/>
        <w:rPr>
          <w:rFonts w:ascii="宋体" w:hAnsi="宋体" w:eastAsia="宋体"/>
        </w:rPr>
      </w:pPr>
      <w:r>
        <w:rPr>
          <w:rFonts w:hint="eastAsia" w:ascii="宋体" w:hAnsi="宋体" w:eastAsia="宋体"/>
        </w:rPr>
        <w:t>经试验后应无明显硫斑，不脱落。无抗硫要求的螺纹盖，此项指标不作要求。</w:t>
      </w:r>
    </w:p>
    <w:p>
      <w:pPr>
        <w:pStyle w:val="14"/>
        <w:numPr>
          <w:ilvl w:val="0"/>
          <w:numId w:val="0"/>
        </w:numPr>
        <w:spacing w:before="0" w:beforeLines="0" w:after="0" w:afterLines="0" w:line="360" w:lineRule="auto"/>
        <w:rPr>
          <w:rFonts w:ascii="Times New Roman" w:eastAsia="宋体"/>
        </w:rPr>
      </w:pPr>
      <w:r>
        <w:rPr>
          <w:rFonts w:ascii="Times New Roman" w:eastAsia="宋体"/>
        </w:rPr>
        <w:t>2.5.2</w:t>
      </w:r>
      <w:r>
        <w:rPr>
          <w:rFonts w:hint="eastAsia" w:ascii="Times New Roman" w:eastAsia="宋体"/>
        </w:rPr>
        <w:t>.4　抗油性</w:t>
      </w:r>
    </w:p>
    <w:p>
      <w:pPr>
        <w:pStyle w:val="16"/>
        <w:numPr>
          <w:ilvl w:val="0"/>
          <w:numId w:val="0"/>
        </w:numPr>
        <w:spacing w:before="0" w:beforeLines="0" w:after="0" w:afterLines="0" w:line="360" w:lineRule="auto"/>
        <w:ind w:firstLine="420" w:firstLineChars="200"/>
        <w:rPr>
          <w:rFonts w:ascii="宋体" w:hAnsi="宋体" w:eastAsia="宋体"/>
        </w:rPr>
      </w:pPr>
      <w:r>
        <w:rPr>
          <w:rFonts w:hint="eastAsia" w:ascii="宋体" w:hAnsi="宋体" w:eastAsia="宋体"/>
        </w:rPr>
        <w:t>经试验后应不变色，不脱落。无抗油要求的螺纹盖，此项指标不作要求。</w:t>
      </w:r>
    </w:p>
    <w:p>
      <w:pPr>
        <w:spacing w:line="360" w:lineRule="auto"/>
        <w:rPr>
          <w:b/>
          <w:sz w:val="24"/>
        </w:rPr>
      </w:pPr>
      <w:r>
        <w:rPr>
          <w:b/>
          <w:sz w:val="24"/>
        </w:rPr>
        <w:t xml:space="preserve">2.5.3 </w:t>
      </w:r>
      <w:r>
        <w:rPr>
          <w:rFonts w:hint="eastAsia"/>
          <w:b/>
          <w:sz w:val="24"/>
        </w:rPr>
        <w:t>密封垫圈质量要求</w:t>
      </w:r>
    </w:p>
    <w:p>
      <w:pPr>
        <w:pStyle w:val="14"/>
        <w:numPr>
          <w:ilvl w:val="0"/>
          <w:numId w:val="0"/>
        </w:numPr>
        <w:spacing w:before="0" w:beforeLines="0" w:after="0" w:afterLines="0" w:line="360" w:lineRule="auto"/>
        <w:rPr>
          <w:rFonts w:ascii="Times New Roman" w:eastAsia="宋体"/>
        </w:rPr>
      </w:pPr>
      <w:r>
        <w:rPr>
          <w:rFonts w:ascii="Times New Roman" w:eastAsia="宋体"/>
        </w:rPr>
        <w:t>2.5.3</w:t>
      </w:r>
      <w:r>
        <w:rPr>
          <w:rFonts w:hint="eastAsia" w:ascii="Times New Roman" w:eastAsia="宋体"/>
        </w:rPr>
        <w:t>.1　塑化程度：塑化良好，垫圈不断裂。</w:t>
      </w:r>
    </w:p>
    <w:p>
      <w:pPr>
        <w:pStyle w:val="14"/>
        <w:numPr>
          <w:ilvl w:val="0"/>
          <w:numId w:val="0"/>
        </w:numPr>
        <w:spacing w:before="0" w:beforeLines="0" w:after="0" w:afterLines="0" w:line="360" w:lineRule="auto"/>
        <w:rPr>
          <w:rFonts w:ascii="Times New Roman" w:eastAsia="宋体"/>
        </w:rPr>
      </w:pPr>
      <w:r>
        <w:rPr>
          <w:rFonts w:ascii="Times New Roman" w:eastAsia="宋体"/>
        </w:rPr>
        <w:t>2.5.3</w:t>
      </w:r>
      <w:r>
        <w:rPr>
          <w:rFonts w:hint="eastAsia" w:ascii="Times New Roman" w:eastAsia="宋体"/>
        </w:rPr>
        <w:t>.2　附着力：垫圈与盖内涂膜及内涂膜与镀锡(铬)薄钢板均应粘接牢固，不移位。</w:t>
      </w:r>
    </w:p>
    <w:p>
      <w:pPr>
        <w:pStyle w:val="14"/>
        <w:numPr>
          <w:ilvl w:val="0"/>
          <w:numId w:val="0"/>
        </w:numPr>
        <w:spacing w:before="0" w:beforeLines="0" w:after="0" w:afterLines="0" w:line="360" w:lineRule="auto"/>
        <w:rPr>
          <w:rFonts w:ascii="Times New Roman" w:eastAsia="宋体"/>
        </w:rPr>
      </w:pPr>
      <w:r>
        <w:rPr>
          <w:rFonts w:ascii="Times New Roman" w:eastAsia="宋体"/>
        </w:rPr>
        <w:t>2.5.3</w:t>
      </w:r>
      <w:r>
        <w:rPr>
          <w:rFonts w:hint="eastAsia" w:ascii="Times New Roman" w:eastAsia="宋体"/>
        </w:rPr>
        <w:t>.3　抗油性：经试验后应不变色，不脱落。密封后应不渗油，不漏油。</w:t>
      </w:r>
    </w:p>
    <w:p>
      <w:pPr>
        <w:spacing w:before="156" w:beforeLines="50" w:line="300" w:lineRule="auto"/>
        <w:rPr>
          <w:b/>
          <w:sz w:val="24"/>
        </w:rPr>
      </w:pPr>
      <w:r>
        <w:rPr>
          <w:b/>
          <w:sz w:val="24"/>
        </w:rPr>
        <w:t xml:space="preserve">2.5.4 </w:t>
      </w:r>
      <w:r>
        <w:rPr>
          <w:rFonts w:hint="eastAsia"/>
          <w:b/>
          <w:sz w:val="24"/>
        </w:rPr>
        <w:t>密封性能要求</w:t>
      </w:r>
    </w:p>
    <w:p>
      <w:pPr>
        <w:pStyle w:val="12"/>
      </w:pPr>
      <w:r>
        <w:rPr>
          <w:rFonts w:hint="eastAsia"/>
        </w:rPr>
        <w:t>试验后密封完好。</w:t>
      </w:r>
    </w:p>
    <w:p>
      <w:pPr>
        <w:spacing w:before="156" w:beforeLines="50" w:line="300" w:lineRule="auto"/>
        <w:rPr>
          <w:b/>
          <w:sz w:val="24"/>
        </w:rPr>
      </w:pPr>
      <w:r>
        <w:rPr>
          <w:b/>
          <w:sz w:val="24"/>
        </w:rPr>
        <w:t xml:space="preserve">2.5.5 </w:t>
      </w:r>
      <w:r>
        <w:rPr>
          <w:rFonts w:hint="eastAsia"/>
          <w:b/>
          <w:sz w:val="24"/>
        </w:rPr>
        <w:t>开启性要求</w:t>
      </w:r>
    </w:p>
    <w:p>
      <w:pPr>
        <w:pStyle w:val="16"/>
        <w:numPr>
          <w:ilvl w:val="0"/>
          <w:numId w:val="0"/>
        </w:numPr>
        <w:ind w:firstLine="420" w:firstLineChars="200"/>
        <w:rPr>
          <w:rFonts w:ascii="Times New Roman" w:eastAsia="宋体"/>
          <w:szCs w:val="20"/>
        </w:rPr>
      </w:pPr>
      <w:r>
        <w:rPr>
          <w:rFonts w:ascii="Times New Roman" w:eastAsia="宋体"/>
          <w:szCs w:val="20"/>
        </w:rPr>
        <w:t>徒手较易开启，开启扭力矩见表2。</w:t>
      </w:r>
    </w:p>
    <w:p>
      <w:pPr>
        <w:autoSpaceDE w:val="0"/>
        <w:autoSpaceDN w:val="0"/>
        <w:adjustRightInd w:val="0"/>
        <w:spacing w:after="156" w:afterLines="50"/>
        <w:jc w:val="center"/>
        <w:rPr>
          <w:rFonts w:eastAsia="黑体"/>
          <w:kern w:val="0"/>
          <w:szCs w:val="21"/>
        </w:rPr>
      </w:pPr>
      <w:r>
        <w:rPr>
          <w:rFonts w:eastAsia="黑体"/>
          <w:kern w:val="0"/>
          <w:szCs w:val="21"/>
        </w:rPr>
        <w:t>表2 开启扭力矩要求</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49"/>
        <w:gridCol w:w="4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3849" w:type="dxa"/>
            <w:vAlign w:val="center"/>
          </w:tcPr>
          <w:p>
            <w:pPr>
              <w:autoSpaceDE w:val="0"/>
              <w:autoSpaceDN w:val="0"/>
              <w:adjustRightInd w:val="0"/>
              <w:jc w:val="center"/>
              <w:rPr>
                <w:kern w:val="0"/>
                <w:sz w:val="18"/>
                <w:szCs w:val="18"/>
              </w:rPr>
            </w:pPr>
            <w:r>
              <w:rPr>
                <w:kern w:val="0"/>
                <w:sz w:val="18"/>
                <w:szCs w:val="18"/>
              </w:rPr>
              <w:t>规格</w:t>
            </w:r>
          </w:p>
        </w:tc>
        <w:tc>
          <w:tcPr>
            <w:tcW w:w="4339" w:type="dxa"/>
            <w:vAlign w:val="center"/>
          </w:tcPr>
          <w:p>
            <w:pPr>
              <w:autoSpaceDE w:val="0"/>
              <w:autoSpaceDN w:val="0"/>
              <w:adjustRightInd w:val="0"/>
              <w:jc w:val="center"/>
              <w:rPr>
                <w:kern w:val="0"/>
                <w:sz w:val="18"/>
                <w:szCs w:val="18"/>
              </w:rPr>
            </w:pPr>
            <w:r>
              <w:rPr>
                <w:kern w:val="0"/>
                <w:sz w:val="18"/>
                <w:szCs w:val="18"/>
              </w:rPr>
              <w:t>开启扭力矩/N·M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9" w:type="dxa"/>
            <w:vAlign w:val="center"/>
          </w:tcPr>
          <w:p>
            <w:pPr>
              <w:autoSpaceDE w:val="0"/>
              <w:autoSpaceDN w:val="0"/>
              <w:adjustRightInd w:val="0"/>
              <w:jc w:val="center"/>
              <w:rPr>
                <w:kern w:val="0"/>
                <w:sz w:val="18"/>
                <w:szCs w:val="18"/>
              </w:rPr>
            </w:pPr>
            <w:r>
              <w:rPr>
                <w:kern w:val="0"/>
                <w:sz w:val="18"/>
                <w:szCs w:val="18"/>
              </w:rPr>
              <w:t>33</w:t>
            </w:r>
          </w:p>
        </w:tc>
        <w:tc>
          <w:tcPr>
            <w:tcW w:w="4339" w:type="dxa"/>
            <w:vAlign w:val="center"/>
          </w:tcPr>
          <w:p>
            <w:pPr>
              <w:autoSpaceDE w:val="0"/>
              <w:autoSpaceDN w:val="0"/>
              <w:adjustRightInd w:val="0"/>
              <w:jc w:val="center"/>
              <w:rPr>
                <w:kern w:val="0"/>
                <w:sz w:val="18"/>
                <w:szCs w:val="18"/>
              </w:rPr>
            </w:pPr>
            <w:r>
              <w:rPr>
                <w:kern w:val="0"/>
                <w:sz w:val="18"/>
                <w:szCs w:val="18"/>
              </w:rPr>
              <w:t>1.30～2.60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9" w:type="dxa"/>
            <w:vAlign w:val="center"/>
          </w:tcPr>
          <w:p>
            <w:pPr>
              <w:autoSpaceDE w:val="0"/>
              <w:autoSpaceDN w:val="0"/>
              <w:adjustRightInd w:val="0"/>
              <w:jc w:val="center"/>
              <w:rPr>
                <w:kern w:val="0"/>
                <w:sz w:val="18"/>
                <w:szCs w:val="18"/>
              </w:rPr>
            </w:pPr>
            <w:r>
              <w:rPr>
                <w:kern w:val="0"/>
                <w:sz w:val="18"/>
                <w:szCs w:val="18"/>
              </w:rPr>
              <w:t>43</w:t>
            </w:r>
          </w:p>
        </w:tc>
        <w:tc>
          <w:tcPr>
            <w:tcW w:w="4339" w:type="dxa"/>
            <w:vAlign w:val="center"/>
          </w:tcPr>
          <w:p>
            <w:pPr>
              <w:autoSpaceDE w:val="0"/>
              <w:autoSpaceDN w:val="0"/>
              <w:adjustRightInd w:val="0"/>
              <w:jc w:val="center"/>
              <w:rPr>
                <w:kern w:val="0"/>
                <w:sz w:val="18"/>
                <w:szCs w:val="18"/>
              </w:rPr>
            </w:pPr>
            <w:r>
              <w:rPr>
                <w:kern w:val="0"/>
                <w:sz w:val="18"/>
                <w:szCs w:val="18"/>
              </w:rPr>
              <w:t>1.60～3.50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9" w:type="dxa"/>
            <w:vAlign w:val="center"/>
          </w:tcPr>
          <w:p>
            <w:pPr>
              <w:autoSpaceDE w:val="0"/>
              <w:autoSpaceDN w:val="0"/>
              <w:adjustRightInd w:val="0"/>
              <w:jc w:val="center"/>
              <w:rPr>
                <w:kern w:val="0"/>
                <w:sz w:val="18"/>
                <w:szCs w:val="18"/>
              </w:rPr>
            </w:pPr>
            <w:r>
              <w:rPr>
                <w:kern w:val="0"/>
                <w:sz w:val="18"/>
                <w:szCs w:val="18"/>
              </w:rPr>
              <w:t>54</w:t>
            </w:r>
          </w:p>
        </w:tc>
        <w:tc>
          <w:tcPr>
            <w:tcW w:w="4339" w:type="dxa"/>
            <w:vAlign w:val="center"/>
          </w:tcPr>
          <w:p>
            <w:pPr>
              <w:autoSpaceDE w:val="0"/>
              <w:autoSpaceDN w:val="0"/>
              <w:adjustRightInd w:val="0"/>
              <w:jc w:val="center"/>
              <w:rPr>
                <w:kern w:val="0"/>
                <w:sz w:val="18"/>
                <w:szCs w:val="18"/>
              </w:rPr>
            </w:pPr>
            <w:r>
              <w:rPr>
                <w:kern w:val="0"/>
                <w:sz w:val="18"/>
                <w:szCs w:val="18"/>
              </w:rPr>
              <w:t>1.95～4.70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9" w:type="dxa"/>
            <w:vAlign w:val="center"/>
          </w:tcPr>
          <w:p>
            <w:pPr>
              <w:autoSpaceDE w:val="0"/>
              <w:autoSpaceDN w:val="0"/>
              <w:adjustRightInd w:val="0"/>
              <w:jc w:val="center"/>
              <w:rPr>
                <w:kern w:val="0"/>
                <w:sz w:val="18"/>
                <w:szCs w:val="18"/>
              </w:rPr>
            </w:pPr>
            <w:r>
              <w:rPr>
                <w:kern w:val="0"/>
                <w:sz w:val="18"/>
                <w:szCs w:val="18"/>
              </w:rPr>
              <w:t>62</w:t>
            </w:r>
          </w:p>
        </w:tc>
        <w:tc>
          <w:tcPr>
            <w:tcW w:w="4339" w:type="dxa"/>
            <w:vAlign w:val="center"/>
          </w:tcPr>
          <w:p>
            <w:pPr>
              <w:autoSpaceDE w:val="0"/>
              <w:autoSpaceDN w:val="0"/>
              <w:adjustRightInd w:val="0"/>
              <w:jc w:val="center"/>
              <w:rPr>
                <w:kern w:val="0"/>
                <w:sz w:val="18"/>
                <w:szCs w:val="18"/>
              </w:rPr>
            </w:pPr>
            <w:r>
              <w:rPr>
                <w:kern w:val="0"/>
                <w:sz w:val="18"/>
                <w:szCs w:val="18"/>
              </w:rPr>
              <w:t>2.20～5.20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9" w:type="dxa"/>
            <w:vAlign w:val="center"/>
          </w:tcPr>
          <w:p>
            <w:pPr>
              <w:autoSpaceDE w:val="0"/>
              <w:autoSpaceDN w:val="0"/>
              <w:adjustRightInd w:val="0"/>
              <w:jc w:val="center"/>
              <w:rPr>
                <w:kern w:val="0"/>
                <w:sz w:val="18"/>
                <w:szCs w:val="18"/>
              </w:rPr>
            </w:pPr>
            <w:r>
              <w:rPr>
                <w:kern w:val="0"/>
                <w:sz w:val="18"/>
                <w:szCs w:val="18"/>
              </w:rPr>
              <w:t>70</w:t>
            </w:r>
          </w:p>
        </w:tc>
        <w:tc>
          <w:tcPr>
            <w:tcW w:w="4339" w:type="dxa"/>
            <w:vAlign w:val="center"/>
          </w:tcPr>
          <w:p>
            <w:pPr>
              <w:autoSpaceDE w:val="0"/>
              <w:autoSpaceDN w:val="0"/>
              <w:adjustRightInd w:val="0"/>
              <w:jc w:val="center"/>
              <w:rPr>
                <w:kern w:val="0"/>
                <w:sz w:val="18"/>
                <w:szCs w:val="18"/>
              </w:rPr>
            </w:pPr>
            <w:r>
              <w:rPr>
                <w:kern w:val="0"/>
                <w:sz w:val="18"/>
                <w:szCs w:val="18"/>
              </w:rPr>
              <w:t>2.55～5.70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9" w:type="dxa"/>
            <w:vAlign w:val="center"/>
          </w:tcPr>
          <w:p>
            <w:pPr>
              <w:autoSpaceDE w:val="0"/>
              <w:autoSpaceDN w:val="0"/>
              <w:adjustRightInd w:val="0"/>
              <w:jc w:val="center"/>
              <w:rPr>
                <w:kern w:val="0"/>
                <w:sz w:val="18"/>
                <w:szCs w:val="18"/>
              </w:rPr>
            </w:pPr>
            <w:r>
              <w:rPr>
                <w:kern w:val="0"/>
                <w:sz w:val="18"/>
                <w:szCs w:val="18"/>
              </w:rPr>
              <w:t>74</w:t>
            </w:r>
          </w:p>
        </w:tc>
        <w:tc>
          <w:tcPr>
            <w:tcW w:w="4339" w:type="dxa"/>
            <w:vAlign w:val="center"/>
          </w:tcPr>
          <w:p>
            <w:pPr>
              <w:autoSpaceDE w:val="0"/>
              <w:autoSpaceDN w:val="0"/>
              <w:adjustRightInd w:val="0"/>
              <w:jc w:val="center"/>
              <w:rPr>
                <w:kern w:val="0"/>
                <w:sz w:val="18"/>
                <w:szCs w:val="18"/>
              </w:rPr>
            </w:pPr>
            <w:r>
              <w:rPr>
                <w:kern w:val="0"/>
                <w:sz w:val="18"/>
                <w:szCs w:val="18"/>
              </w:rPr>
              <w:t>2.85～6.20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9" w:type="dxa"/>
            <w:vAlign w:val="center"/>
          </w:tcPr>
          <w:p>
            <w:pPr>
              <w:autoSpaceDE w:val="0"/>
              <w:autoSpaceDN w:val="0"/>
              <w:adjustRightInd w:val="0"/>
              <w:jc w:val="center"/>
              <w:rPr>
                <w:kern w:val="0"/>
                <w:sz w:val="18"/>
                <w:szCs w:val="18"/>
              </w:rPr>
            </w:pPr>
            <w:r>
              <w:rPr>
                <w:kern w:val="0"/>
                <w:sz w:val="18"/>
                <w:szCs w:val="18"/>
              </w:rPr>
              <w:t>78</w:t>
            </w:r>
          </w:p>
        </w:tc>
        <w:tc>
          <w:tcPr>
            <w:tcW w:w="4339" w:type="dxa"/>
            <w:vAlign w:val="center"/>
          </w:tcPr>
          <w:p>
            <w:pPr>
              <w:autoSpaceDE w:val="0"/>
              <w:autoSpaceDN w:val="0"/>
              <w:adjustRightInd w:val="0"/>
              <w:jc w:val="center"/>
              <w:rPr>
                <w:kern w:val="0"/>
                <w:sz w:val="18"/>
                <w:szCs w:val="18"/>
              </w:rPr>
            </w:pPr>
            <w:r>
              <w:rPr>
                <w:kern w:val="0"/>
                <w:sz w:val="18"/>
                <w:szCs w:val="18"/>
              </w:rPr>
              <w:t>3.10～6.70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9" w:type="dxa"/>
            <w:vAlign w:val="center"/>
          </w:tcPr>
          <w:p>
            <w:pPr>
              <w:autoSpaceDE w:val="0"/>
              <w:autoSpaceDN w:val="0"/>
              <w:adjustRightInd w:val="0"/>
              <w:jc w:val="center"/>
              <w:rPr>
                <w:kern w:val="0"/>
                <w:sz w:val="18"/>
                <w:szCs w:val="18"/>
              </w:rPr>
            </w:pPr>
            <w:r>
              <w:rPr>
                <w:kern w:val="0"/>
                <w:sz w:val="18"/>
                <w:szCs w:val="18"/>
              </w:rPr>
              <w:t>86</w:t>
            </w:r>
          </w:p>
        </w:tc>
        <w:tc>
          <w:tcPr>
            <w:tcW w:w="4339" w:type="dxa"/>
            <w:vAlign w:val="center"/>
          </w:tcPr>
          <w:p>
            <w:pPr>
              <w:autoSpaceDE w:val="0"/>
              <w:autoSpaceDN w:val="0"/>
              <w:adjustRightInd w:val="0"/>
              <w:jc w:val="center"/>
              <w:rPr>
                <w:kern w:val="0"/>
                <w:sz w:val="18"/>
                <w:szCs w:val="18"/>
              </w:rPr>
            </w:pPr>
            <w:r>
              <w:rPr>
                <w:kern w:val="0"/>
                <w:sz w:val="18"/>
                <w:szCs w:val="18"/>
              </w:rPr>
              <w:t>3.40～7.00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9" w:type="dxa"/>
            <w:vAlign w:val="center"/>
          </w:tcPr>
          <w:p>
            <w:pPr>
              <w:autoSpaceDE w:val="0"/>
              <w:autoSpaceDN w:val="0"/>
              <w:adjustRightInd w:val="0"/>
              <w:jc w:val="center"/>
              <w:rPr>
                <w:kern w:val="0"/>
                <w:sz w:val="18"/>
                <w:szCs w:val="18"/>
              </w:rPr>
            </w:pPr>
            <w:r>
              <w:rPr>
                <w:kern w:val="0"/>
                <w:sz w:val="18"/>
                <w:szCs w:val="18"/>
              </w:rPr>
              <w:t>100</w:t>
            </w:r>
          </w:p>
        </w:tc>
        <w:tc>
          <w:tcPr>
            <w:tcW w:w="4339" w:type="dxa"/>
            <w:vAlign w:val="center"/>
          </w:tcPr>
          <w:p>
            <w:pPr>
              <w:autoSpaceDE w:val="0"/>
              <w:autoSpaceDN w:val="0"/>
              <w:adjustRightInd w:val="0"/>
              <w:jc w:val="center"/>
              <w:rPr>
                <w:kern w:val="0"/>
                <w:sz w:val="18"/>
                <w:szCs w:val="18"/>
              </w:rPr>
            </w:pPr>
            <w:r>
              <w:rPr>
                <w:kern w:val="0"/>
                <w:sz w:val="18"/>
                <w:szCs w:val="18"/>
              </w:rPr>
              <w:t>3.70～12.00</w:t>
            </w:r>
          </w:p>
        </w:tc>
      </w:tr>
    </w:tbl>
    <w:p>
      <w:pPr>
        <w:spacing w:before="156" w:beforeLines="50" w:line="300" w:lineRule="auto"/>
        <w:rPr>
          <w:b/>
          <w:sz w:val="24"/>
        </w:rPr>
      </w:pPr>
      <w:r>
        <w:rPr>
          <w:b/>
          <w:sz w:val="24"/>
        </w:rPr>
        <w:t xml:space="preserve">2.5.6 </w:t>
      </w:r>
      <w:r>
        <w:rPr>
          <w:rFonts w:hint="eastAsia"/>
          <w:b/>
          <w:sz w:val="24"/>
        </w:rPr>
        <w:t>真空安全钮</w:t>
      </w:r>
    </w:p>
    <w:p>
      <w:pPr>
        <w:pStyle w:val="16"/>
        <w:numPr>
          <w:ilvl w:val="0"/>
          <w:numId w:val="0"/>
        </w:numPr>
        <w:ind w:firstLine="420" w:firstLineChars="200"/>
        <w:rPr>
          <w:rFonts w:ascii="Times New Roman" w:eastAsia="宋体"/>
          <w:szCs w:val="20"/>
        </w:rPr>
      </w:pPr>
      <w:r>
        <w:rPr>
          <w:rFonts w:ascii="Times New Roman" w:eastAsia="宋体"/>
          <w:szCs w:val="20"/>
        </w:rPr>
        <w:t>真空安全钮吸下，弹起真空度的参考限定值见表3。</w:t>
      </w:r>
    </w:p>
    <w:p>
      <w:pPr>
        <w:autoSpaceDE w:val="0"/>
        <w:autoSpaceDN w:val="0"/>
        <w:adjustRightInd w:val="0"/>
        <w:snapToGrid w:val="0"/>
        <w:spacing w:before="156" w:beforeLines="50" w:after="156" w:afterLines="50"/>
        <w:jc w:val="center"/>
        <w:rPr>
          <w:kern w:val="0"/>
          <w:szCs w:val="21"/>
        </w:rPr>
      </w:pPr>
      <w:r>
        <w:rPr>
          <w:rFonts w:hint="eastAsia" w:ascii="宋体" w:hAnsi="宋体" w:cs="AdobeHeitiStd-Regular"/>
          <w:kern w:val="0"/>
          <w:szCs w:val="21"/>
        </w:rPr>
        <w:t xml:space="preserve">                       </w:t>
      </w:r>
      <w:r>
        <w:rPr>
          <w:kern w:val="0"/>
          <w:szCs w:val="21"/>
        </w:rPr>
        <w:t xml:space="preserve">  </w:t>
      </w:r>
      <w:r>
        <w:rPr>
          <w:rFonts w:eastAsia="黑体"/>
          <w:kern w:val="0"/>
          <w:szCs w:val="21"/>
        </w:rPr>
        <w:t xml:space="preserve">表3 真空安全钮要求 </w:t>
      </w:r>
      <w:r>
        <w:rPr>
          <w:kern w:val="0"/>
          <w:szCs w:val="21"/>
        </w:rPr>
        <w:t xml:space="preserve">                    </w:t>
      </w:r>
      <w:r>
        <w:rPr>
          <w:rFonts w:eastAsia="黑体"/>
          <w:kern w:val="0"/>
          <w:szCs w:val="21"/>
        </w:rPr>
        <w:t xml:space="preserve">  单位：MPa</w:t>
      </w:r>
    </w:p>
    <w:tbl>
      <w:tblPr>
        <w:tblStyle w:val="4"/>
        <w:tblW w:w="0" w:type="auto"/>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5"/>
        <w:gridCol w:w="2038"/>
        <w:gridCol w:w="2226"/>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100" w:type="dxa"/>
            <w:vMerge w:val="restart"/>
            <w:vAlign w:val="center"/>
          </w:tcPr>
          <w:p>
            <w:pPr>
              <w:autoSpaceDE w:val="0"/>
              <w:autoSpaceDN w:val="0"/>
              <w:adjustRightInd w:val="0"/>
              <w:jc w:val="center"/>
              <w:rPr>
                <w:kern w:val="0"/>
                <w:sz w:val="18"/>
                <w:szCs w:val="18"/>
              </w:rPr>
            </w:pPr>
            <w:r>
              <w:rPr>
                <w:kern w:val="0"/>
                <w:sz w:val="18"/>
                <w:szCs w:val="18"/>
              </w:rPr>
              <w:t>规    格</w:t>
            </w:r>
          </w:p>
        </w:tc>
        <w:tc>
          <w:tcPr>
            <w:tcW w:w="4620" w:type="dxa"/>
            <w:gridSpan w:val="2"/>
            <w:vAlign w:val="center"/>
          </w:tcPr>
          <w:p>
            <w:pPr>
              <w:autoSpaceDE w:val="0"/>
              <w:autoSpaceDN w:val="0"/>
              <w:adjustRightInd w:val="0"/>
              <w:jc w:val="center"/>
              <w:rPr>
                <w:kern w:val="0"/>
                <w:sz w:val="18"/>
                <w:szCs w:val="18"/>
              </w:rPr>
            </w:pPr>
            <w:r>
              <w:rPr>
                <w:kern w:val="0"/>
                <w:sz w:val="18"/>
                <w:szCs w:val="18"/>
              </w:rPr>
              <w:t>真 空 度</w:t>
            </w:r>
          </w:p>
        </w:tc>
        <w:tc>
          <w:tcPr>
            <w:tcW w:w="2205" w:type="dxa"/>
            <w:vMerge w:val="restart"/>
            <w:vAlign w:val="center"/>
          </w:tcPr>
          <w:p>
            <w:pPr>
              <w:autoSpaceDE w:val="0"/>
              <w:autoSpaceDN w:val="0"/>
              <w:adjustRightInd w:val="0"/>
              <w:jc w:val="center"/>
              <w:rPr>
                <w:kern w:val="0"/>
                <w:sz w:val="18"/>
                <w:szCs w:val="18"/>
              </w:rPr>
            </w:pPr>
            <w:r>
              <w:rPr>
                <w:kern w:val="0"/>
                <w:sz w:val="18"/>
                <w:szCs w:val="18"/>
              </w:rPr>
              <w:t xml:space="preserve">吸下和弹起值之差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100" w:type="dxa"/>
            <w:vMerge w:val="continue"/>
            <w:vAlign w:val="center"/>
          </w:tcPr>
          <w:p>
            <w:pPr>
              <w:autoSpaceDE w:val="0"/>
              <w:autoSpaceDN w:val="0"/>
              <w:adjustRightInd w:val="0"/>
              <w:jc w:val="center"/>
              <w:rPr>
                <w:kern w:val="0"/>
                <w:sz w:val="18"/>
                <w:szCs w:val="18"/>
              </w:rPr>
            </w:pPr>
          </w:p>
        </w:tc>
        <w:tc>
          <w:tcPr>
            <w:tcW w:w="2205" w:type="dxa"/>
            <w:vAlign w:val="center"/>
          </w:tcPr>
          <w:p>
            <w:pPr>
              <w:autoSpaceDE w:val="0"/>
              <w:autoSpaceDN w:val="0"/>
              <w:adjustRightInd w:val="0"/>
              <w:jc w:val="center"/>
              <w:rPr>
                <w:kern w:val="0"/>
                <w:sz w:val="18"/>
                <w:szCs w:val="18"/>
              </w:rPr>
            </w:pPr>
            <w:r>
              <w:rPr>
                <w:kern w:val="0"/>
                <w:sz w:val="18"/>
                <w:szCs w:val="18"/>
              </w:rPr>
              <w:t>吸下最大值</w:t>
            </w:r>
          </w:p>
        </w:tc>
        <w:tc>
          <w:tcPr>
            <w:tcW w:w="2415" w:type="dxa"/>
            <w:vAlign w:val="center"/>
          </w:tcPr>
          <w:p>
            <w:pPr>
              <w:autoSpaceDE w:val="0"/>
              <w:autoSpaceDN w:val="0"/>
              <w:adjustRightInd w:val="0"/>
              <w:jc w:val="center"/>
              <w:rPr>
                <w:kern w:val="0"/>
                <w:sz w:val="18"/>
                <w:szCs w:val="18"/>
              </w:rPr>
            </w:pPr>
            <w:r>
              <w:rPr>
                <w:kern w:val="0"/>
                <w:sz w:val="18"/>
                <w:szCs w:val="18"/>
              </w:rPr>
              <w:t>弹起最小值</w:t>
            </w:r>
          </w:p>
        </w:tc>
        <w:tc>
          <w:tcPr>
            <w:tcW w:w="2205" w:type="dxa"/>
            <w:vMerge w:val="continue"/>
            <w:vAlign w:val="center"/>
          </w:tcPr>
          <w:p>
            <w:pPr>
              <w:autoSpaceDE w:val="0"/>
              <w:autoSpaceDN w:val="0"/>
              <w:adjustRightIn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2100" w:type="dxa"/>
            <w:vAlign w:val="center"/>
          </w:tcPr>
          <w:p>
            <w:pPr>
              <w:autoSpaceDE w:val="0"/>
              <w:autoSpaceDN w:val="0"/>
              <w:adjustRightInd w:val="0"/>
              <w:jc w:val="center"/>
              <w:rPr>
                <w:kern w:val="0"/>
                <w:sz w:val="18"/>
                <w:szCs w:val="18"/>
              </w:rPr>
            </w:pPr>
            <w:r>
              <w:rPr>
                <w:kern w:val="0"/>
                <w:sz w:val="18"/>
                <w:szCs w:val="18"/>
              </w:rPr>
              <w:t>33-62</w:t>
            </w:r>
          </w:p>
        </w:tc>
        <w:tc>
          <w:tcPr>
            <w:tcW w:w="2205" w:type="dxa"/>
            <w:vAlign w:val="center"/>
          </w:tcPr>
          <w:p>
            <w:pPr>
              <w:autoSpaceDE w:val="0"/>
              <w:autoSpaceDN w:val="0"/>
              <w:adjustRightInd w:val="0"/>
              <w:jc w:val="center"/>
              <w:rPr>
                <w:kern w:val="0"/>
                <w:sz w:val="18"/>
                <w:szCs w:val="18"/>
              </w:rPr>
            </w:pPr>
            <w:r>
              <w:rPr>
                <w:kern w:val="0"/>
                <w:sz w:val="18"/>
                <w:szCs w:val="18"/>
              </w:rPr>
              <w:t>0.044</w:t>
            </w:r>
          </w:p>
        </w:tc>
        <w:tc>
          <w:tcPr>
            <w:tcW w:w="2415" w:type="dxa"/>
            <w:vMerge w:val="restart"/>
            <w:vAlign w:val="center"/>
          </w:tcPr>
          <w:p>
            <w:pPr>
              <w:autoSpaceDE w:val="0"/>
              <w:autoSpaceDN w:val="0"/>
              <w:adjustRightInd w:val="0"/>
              <w:jc w:val="center"/>
              <w:rPr>
                <w:kern w:val="0"/>
                <w:sz w:val="18"/>
                <w:szCs w:val="18"/>
              </w:rPr>
            </w:pPr>
            <w:r>
              <w:rPr>
                <w:kern w:val="0"/>
                <w:sz w:val="18"/>
                <w:szCs w:val="18"/>
              </w:rPr>
              <w:t>0.007</w:t>
            </w:r>
          </w:p>
        </w:tc>
        <w:tc>
          <w:tcPr>
            <w:tcW w:w="2205" w:type="dxa"/>
            <w:vMerge w:val="restart"/>
            <w:vAlign w:val="center"/>
          </w:tcPr>
          <w:p>
            <w:pPr>
              <w:autoSpaceDE w:val="0"/>
              <w:autoSpaceDN w:val="0"/>
              <w:adjustRightInd w:val="0"/>
              <w:jc w:val="center"/>
              <w:rPr>
                <w:kern w:val="0"/>
                <w:sz w:val="18"/>
                <w:szCs w:val="18"/>
              </w:rPr>
            </w:pPr>
            <w:r>
              <w:rPr>
                <w:kern w:val="0"/>
                <w:sz w:val="18"/>
                <w:szCs w:val="18"/>
              </w:rPr>
              <w:t>0.007-0.015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100" w:type="dxa"/>
            <w:vAlign w:val="center"/>
          </w:tcPr>
          <w:p>
            <w:pPr>
              <w:autoSpaceDE w:val="0"/>
              <w:autoSpaceDN w:val="0"/>
              <w:adjustRightInd w:val="0"/>
              <w:jc w:val="center"/>
              <w:rPr>
                <w:kern w:val="0"/>
                <w:sz w:val="18"/>
                <w:szCs w:val="18"/>
              </w:rPr>
            </w:pPr>
            <w:r>
              <w:rPr>
                <w:kern w:val="0"/>
                <w:sz w:val="18"/>
                <w:szCs w:val="18"/>
              </w:rPr>
              <w:t>70-100</w:t>
            </w:r>
          </w:p>
        </w:tc>
        <w:tc>
          <w:tcPr>
            <w:tcW w:w="2205" w:type="dxa"/>
            <w:vAlign w:val="center"/>
          </w:tcPr>
          <w:p>
            <w:pPr>
              <w:autoSpaceDE w:val="0"/>
              <w:autoSpaceDN w:val="0"/>
              <w:adjustRightInd w:val="0"/>
              <w:jc w:val="center"/>
              <w:rPr>
                <w:kern w:val="0"/>
                <w:sz w:val="18"/>
                <w:szCs w:val="18"/>
              </w:rPr>
            </w:pPr>
            <w:r>
              <w:rPr>
                <w:kern w:val="0"/>
                <w:sz w:val="18"/>
                <w:szCs w:val="18"/>
              </w:rPr>
              <w:t>0.040</w:t>
            </w:r>
          </w:p>
        </w:tc>
        <w:tc>
          <w:tcPr>
            <w:tcW w:w="2415" w:type="dxa"/>
            <w:vMerge w:val="continue"/>
          </w:tcPr>
          <w:p>
            <w:pPr>
              <w:autoSpaceDE w:val="0"/>
              <w:autoSpaceDN w:val="0"/>
              <w:adjustRightInd w:val="0"/>
              <w:jc w:val="center"/>
              <w:rPr>
                <w:kern w:val="0"/>
                <w:sz w:val="18"/>
                <w:szCs w:val="18"/>
              </w:rPr>
            </w:pPr>
          </w:p>
        </w:tc>
        <w:tc>
          <w:tcPr>
            <w:tcW w:w="2205" w:type="dxa"/>
            <w:vMerge w:val="continue"/>
          </w:tcPr>
          <w:p>
            <w:pPr>
              <w:autoSpaceDE w:val="0"/>
              <w:autoSpaceDN w:val="0"/>
              <w:adjustRightInd w:val="0"/>
              <w:jc w:val="center"/>
              <w:rPr>
                <w:kern w:val="0"/>
                <w:sz w:val="18"/>
                <w:szCs w:val="18"/>
              </w:rPr>
            </w:pPr>
          </w:p>
        </w:tc>
      </w:tr>
    </w:tbl>
    <w:p>
      <w:pPr>
        <w:spacing w:before="156" w:beforeLines="50" w:line="360" w:lineRule="auto"/>
        <w:rPr>
          <w:b/>
          <w:color w:val="FF0000"/>
          <w:sz w:val="24"/>
        </w:rPr>
      </w:pPr>
      <w:r>
        <w:rPr>
          <w:rFonts w:hint="eastAsia"/>
          <w:b/>
          <w:sz w:val="24"/>
        </w:rPr>
        <w:t>2</w:t>
      </w:r>
      <w:r>
        <w:rPr>
          <w:b/>
          <w:sz w:val="24"/>
        </w:rPr>
        <w:t xml:space="preserve">.5.6 </w:t>
      </w:r>
      <w:r>
        <w:rPr>
          <w:rFonts w:hint="eastAsia"/>
          <w:b/>
          <w:sz w:val="24"/>
        </w:rPr>
        <w:t>相容性要求</w:t>
      </w:r>
    </w:p>
    <w:p>
      <w:pPr>
        <w:pStyle w:val="14"/>
        <w:numPr>
          <w:ilvl w:val="0"/>
          <w:numId w:val="0"/>
        </w:numPr>
        <w:spacing w:before="0" w:beforeLines="0" w:after="0" w:afterLines="0" w:line="360" w:lineRule="auto"/>
        <w:rPr>
          <w:rFonts w:ascii="Times New Roman" w:eastAsia="宋体"/>
        </w:rPr>
      </w:pPr>
      <w:r>
        <w:rPr>
          <w:rFonts w:ascii="Times New Roman" w:eastAsia="宋体"/>
        </w:rPr>
        <w:t>2.5.6</w:t>
      </w:r>
      <w:r>
        <w:rPr>
          <w:rFonts w:hint="eastAsia" w:ascii="Times New Roman" w:eastAsia="宋体"/>
        </w:rPr>
        <w:t>.1　供需双方可根据需要开展相容性测试。</w:t>
      </w:r>
    </w:p>
    <w:p>
      <w:pPr>
        <w:pStyle w:val="14"/>
        <w:numPr>
          <w:ilvl w:val="0"/>
          <w:numId w:val="0"/>
        </w:numPr>
        <w:spacing w:before="0" w:beforeLines="0" w:after="0" w:afterLines="0" w:line="360" w:lineRule="auto"/>
        <w:rPr>
          <w:rFonts w:ascii="Times New Roman" w:eastAsia="宋体"/>
        </w:rPr>
      </w:pPr>
      <w:r>
        <w:rPr>
          <w:rFonts w:ascii="Times New Roman" w:eastAsia="宋体"/>
        </w:rPr>
        <w:t>2.5.6</w:t>
      </w:r>
      <w:r>
        <w:rPr>
          <w:rFonts w:hint="eastAsia" w:ascii="Times New Roman" w:eastAsia="宋体"/>
        </w:rPr>
        <w:t>.2　螺纹盖使用之初或灌装内容物发生改变时，根据预期用途开展相容性试验，确保其符合使用要求。</w:t>
      </w:r>
    </w:p>
    <w:p>
      <w:pPr>
        <w:pStyle w:val="7"/>
        <w:numPr>
          <w:ilvl w:val="0"/>
          <w:numId w:val="3"/>
        </w:numPr>
        <w:ind w:firstLineChars="0"/>
        <w:rPr>
          <w:rFonts w:ascii="Times New Roman" w:hAnsi="Times New Roman" w:eastAsia="华文仿宋"/>
          <w:b/>
          <w:sz w:val="28"/>
        </w:rPr>
      </w:pPr>
      <w:bookmarkStart w:id="16" w:name="OLE_LINK76"/>
      <w:bookmarkStart w:id="17" w:name="OLE_LINK75"/>
      <w:r>
        <w:rPr>
          <w:rFonts w:ascii="Times New Roman" w:hAnsi="Times New Roman" w:eastAsia="华文仿宋"/>
          <w:b/>
          <w:sz w:val="28"/>
        </w:rPr>
        <w:t>主要试验（或验证）情况</w:t>
      </w:r>
    </w:p>
    <w:bookmarkEnd w:id="16"/>
    <w:bookmarkEnd w:id="17"/>
    <w:p>
      <w:pPr>
        <w:spacing w:line="360" w:lineRule="auto"/>
        <w:ind w:firstLine="482"/>
        <w:rPr>
          <w:color w:val="000000"/>
          <w:sz w:val="24"/>
        </w:rPr>
      </w:pPr>
      <w:bookmarkStart w:id="18" w:name="OLE_LINK68"/>
      <w:bookmarkStart w:id="19" w:name="OLE_LINK67"/>
      <w:r>
        <w:rPr>
          <w:color w:val="000000"/>
          <w:sz w:val="24"/>
        </w:rPr>
        <w:t>本标准</w:t>
      </w:r>
      <w:bookmarkEnd w:id="18"/>
      <w:bookmarkEnd w:id="19"/>
      <w:r>
        <w:rPr>
          <w:color w:val="000000"/>
          <w:sz w:val="24"/>
        </w:rPr>
        <w:t>所规定的技术要求已在长期的生产实践中得到验证</w:t>
      </w:r>
      <w:bookmarkStart w:id="20" w:name="OLE_LINK72"/>
      <w:bookmarkStart w:id="21" w:name="OLE_LINK71"/>
      <w:r>
        <w:rPr>
          <w:color w:val="000000"/>
          <w:sz w:val="24"/>
        </w:rPr>
        <w:t>。因此标准技术内容</w:t>
      </w:r>
      <w:bookmarkEnd w:id="20"/>
      <w:bookmarkEnd w:id="21"/>
      <w:r>
        <w:rPr>
          <w:color w:val="000000"/>
          <w:sz w:val="24"/>
        </w:rPr>
        <w:t>合理、可行，具有较强的适用性。</w:t>
      </w:r>
    </w:p>
    <w:p>
      <w:pPr>
        <w:pStyle w:val="7"/>
        <w:numPr>
          <w:ilvl w:val="0"/>
          <w:numId w:val="3"/>
        </w:numPr>
        <w:ind w:firstLineChars="0"/>
        <w:rPr>
          <w:rFonts w:ascii="Times New Roman" w:hAnsi="Times New Roman" w:eastAsia="华文仿宋"/>
          <w:b/>
          <w:sz w:val="28"/>
        </w:rPr>
      </w:pPr>
      <w:bookmarkStart w:id="22" w:name="OLE_LINK78"/>
      <w:bookmarkStart w:id="23" w:name="OLE_LINK77"/>
      <w:r>
        <w:rPr>
          <w:rFonts w:ascii="Times New Roman" w:hAnsi="Times New Roman" w:eastAsia="华文仿宋"/>
          <w:b/>
          <w:sz w:val="28"/>
        </w:rPr>
        <w:t>标准中涉及专利的情况</w:t>
      </w:r>
    </w:p>
    <w:bookmarkEnd w:id="22"/>
    <w:bookmarkEnd w:id="23"/>
    <w:p>
      <w:pPr>
        <w:spacing w:line="300" w:lineRule="auto"/>
        <w:ind w:left="420"/>
        <w:rPr>
          <w:color w:val="000000"/>
          <w:sz w:val="24"/>
        </w:rPr>
      </w:pPr>
      <w:r>
        <w:rPr>
          <w:color w:val="000000"/>
          <w:sz w:val="24"/>
        </w:rPr>
        <w:t>本标准</w:t>
      </w:r>
      <w:bookmarkStart w:id="24" w:name="OLE_LINK80"/>
      <w:bookmarkStart w:id="25" w:name="OLE_LINK79"/>
      <w:r>
        <w:rPr>
          <w:color w:val="000000"/>
          <w:sz w:val="24"/>
        </w:rPr>
        <w:t>不涉及专利问题。</w:t>
      </w:r>
      <w:bookmarkEnd w:id="24"/>
      <w:bookmarkEnd w:id="25"/>
    </w:p>
    <w:p>
      <w:pPr>
        <w:pStyle w:val="7"/>
        <w:numPr>
          <w:ilvl w:val="0"/>
          <w:numId w:val="3"/>
        </w:numPr>
        <w:ind w:firstLineChars="0"/>
        <w:rPr>
          <w:rFonts w:ascii="Times New Roman" w:hAnsi="Times New Roman" w:eastAsia="华文仿宋"/>
          <w:b/>
          <w:sz w:val="28"/>
        </w:rPr>
      </w:pPr>
      <w:r>
        <w:rPr>
          <w:rFonts w:hint="eastAsia" w:ascii="Times New Roman" w:hAnsi="Times New Roman" w:eastAsia="华文仿宋"/>
          <w:b/>
          <w:sz w:val="28"/>
        </w:rPr>
        <w:t>预期达到的社会效益、对产业发展的作用等情况</w:t>
      </w:r>
    </w:p>
    <w:p>
      <w:pPr>
        <w:spacing w:line="360" w:lineRule="auto"/>
        <w:ind w:firstLine="482"/>
        <w:rPr>
          <w:color w:val="000000"/>
          <w:sz w:val="24"/>
        </w:rPr>
      </w:pPr>
      <w:r>
        <w:rPr>
          <w:rFonts w:hint="eastAsia"/>
          <w:color w:val="000000"/>
          <w:sz w:val="24"/>
        </w:rPr>
        <w:t>螺纹旋开盖日常应用广泛，已成为金属包装的重要组成部分，为罐头食品、饮料等行业提供配套服务。作为全球四大类包装之一的玻璃瓶包装依然受到消费者的青睐，且紧随着包装工业的持续发展，不断推陈出新，依然具有较强的市场发展潜力。螺纹旋开盖作为配套玻璃瓶的一种小型包装封口件，其处于成品包装的最后一个阶段，且与玻璃瓶瓶口及实罐生产端有着密不可分的关系，更受中间端市场及终端消费者的关注，其功能、质量及食品安全需求也在随之提高。</w:t>
      </w:r>
    </w:p>
    <w:p>
      <w:pPr>
        <w:spacing w:line="360" w:lineRule="auto"/>
        <w:ind w:firstLine="482"/>
        <w:rPr>
          <w:color w:val="000000" w:themeColor="text1"/>
          <w:sz w:val="24"/>
          <w14:textFill>
            <w14:solidFill>
              <w14:schemeClr w14:val="tx1"/>
            </w14:solidFill>
          </w14:textFill>
        </w:rPr>
      </w:pPr>
      <w:r>
        <w:rPr>
          <w:rFonts w:hint="eastAsia"/>
          <w:color w:val="000000"/>
          <w:sz w:val="24"/>
        </w:rPr>
        <w:t>螺纹旋开盖分为一体式螺纹旋开盖和内片外圈分离式螺纹旋开盖。查阅相关标准，目前尚没有相对应的有国家标准或行业标准，现有的GB/T 29335《爪式旋开盖》国家标准中缺乏对螺纹旋开旋盖的相关要求与说明，包括螺纹旋开盖的品种、型号及相关的性能、检测方法等内容。为了解决标准缺失问题，使食品容器用螺纹旋开盖的生产有法可依，规范螺纹旋开盖的生产，提高产品质量，提升生产效率，为市场监管提供有力保障。同时该标准的制定也</w:t>
      </w:r>
      <w:r>
        <w:rPr>
          <w:rFonts w:hint="eastAsia"/>
          <w:color w:val="000000" w:themeColor="text1"/>
          <w:sz w:val="24"/>
          <w14:textFill>
            <w14:solidFill>
              <w14:schemeClr w14:val="tx1"/>
            </w14:solidFill>
          </w14:textFill>
        </w:rPr>
        <w:t>将完善罐头食品包装领域标准体系，对该领域的发展具有重要意义。</w:t>
      </w:r>
    </w:p>
    <w:p>
      <w:pPr>
        <w:pStyle w:val="7"/>
        <w:numPr>
          <w:ilvl w:val="0"/>
          <w:numId w:val="3"/>
        </w:numPr>
        <w:ind w:firstLineChars="0"/>
        <w:rPr>
          <w:rFonts w:ascii="Times New Roman" w:hAnsi="Times New Roman" w:eastAsia="华文仿宋"/>
          <w:b/>
          <w:sz w:val="28"/>
        </w:rPr>
      </w:pPr>
      <w:r>
        <w:rPr>
          <w:rFonts w:hint="eastAsia" w:ascii="Times New Roman" w:hAnsi="Times New Roman" w:eastAsia="华文仿宋"/>
          <w:b/>
          <w:sz w:val="28"/>
        </w:rPr>
        <w:t>与国际、国外对比情况</w:t>
      </w:r>
    </w:p>
    <w:p>
      <w:pPr>
        <w:spacing w:line="360" w:lineRule="auto"/>
        <w:ind w:left="420"/>
        <w:rPr>
          <w:color w:val="000000"/>
          <w:sz w:val="24"/>
        </w:rPr>
      </w:pPr>
      <w:r>
        <w:rPr>
          <w:rFonts w:hint="eastAsia"/>
          <w:color w:val="000000"/>
          <w:sz w:val="24"/>
        </w:rPr>
        <w:t>本标准没有采用国际标准。</w:t>
      </w:r>
    </w:p>
    <w:p>
      <w:pPr>
        <w:spacing w:line="360" w:lineRule="auto"/>
        <w:ind w:left="420"/>
        <w:rPr>
          <w:color w:val="000000"/>
          <w:sz w:val="24"/>
        </w:rPr>
      </w:pPr>
      <w:r>
        <w:rPr>
          <w:rFonts w:hint="eastAsia"/>
          <w:color w:val="000000"/>
          <w:sz w:val="24"/>
        </w:rPr>
        <w:t>本标准水平为国内先进水平。</w:t>
      </w:r>
    </w:p>
    <w:p>
      <w:pPr>
        <w:pStyle w:val="7"/>
        <w:numPr>
          <w:ilvl w:val="0"/>
          <w:numId w:val="3"/>
        </w:numPr>
        <w:ind w:firstLineChars="0"/>
        <w:rPr>
          <w:rFonts w:ascii="Times New Roman" w:hAnsi="Times New Roman" w:eastAsia="华文仿宋"/>
          <w:b/>
          <w:sz w:val="28"/>
        </w:rPr>
      </w:pPr>
      <w:r>
        <w:rPr>
          <w:rFonts w:hint="eastAsia" w:ascii="Times New Roman" w:hAnsi="Times New Roman" w:eastAsia="华文仿宋"/>
          <w:b/>
          <w:sz w:val="28"/>
        </w:rPr>
        <w:t>在标准体系表中的位置，与现行相关法律、法规、规章及相关标准，特别是强制性标准的协调性</w:t>
      </w:r>
    </w:p>
    <w:p>
      <w:pPr>
        <w:spacing w:line="360" w:lineRule="auto"/>
        <w:ind w:left="420"/>
        <w:rPr>
          <w:rFonts w:ascii="Times New Roman" w:hAnsi="Times New Roman" w:eastAsia="华文仿宋"/>
          <w:b/>
          <w:sz w:val="28"/>
        </w:rPr>
      </w:pPr>
      <w:r>
        <w:rPr>
          <w:rFonts w:hint="eastAsia"/>
          <w:color w:val="000000"/>
          <w:sz w:val="24"/>
        </w:rPr>
        <w:t>本标准与现行相关法律、法规、规章及相关标准协调一致。</w:t>
      </w:r>
    </w:p>
    <w:p>
      <w:pPr>
        <w:pStyle w:val="10"/>
        <w:numPr>
          <w:ilvl w:val="0"/>
          <w:numId w:val="3"/>
        </w:numPr>
        <w:ind w:firstLineChars="0"/>
        <w:rPr>
          <w:rFonts w:ascii="Times New Roman" w:hAnsi="Times New Roman" w:eastAsia="华文仿宋"/>
          <w:b/>
          <w:sz w:val="28"/>
        </w:rPr>
      </w:pPr>
      <w:r>
        <w:rPr>
          <w:rFonts w:hint="eastAsia" w:ascii="Times New Roman" w:hAnsi="Times New Roman" w:eastAsia="华文仿宋"/>
          <w:b/>
          <w:sz w:val="28"/>
        </w:rPr>
        <w:t>重大分歧意见的处理经过和依据</w:t>
      </w:r>
    </w:p>
    <w:p>
      <w:pPr>
        <w:spacing w:line="300" w:lineRule="auto"/>
        <w:ind w:firstLine="480" w:firstLineChars="200"/>
        <w:rPr>
          <w:color w:val="000000"/>
          <w:sz w:val="24"/>
        </w:rPr>
      </w:pPr>
      <w:r>
        <w:rPr>
          <w:rFonts w:hint="eastAsia"/>
          <w:color w:val="000000"/>
          <w:sz w:val="24"/>
        </w:rPr>
        <w:t>无。</w:t>
      </w:r>
    </w:p>
    <w:p>
      <w:pPr>
        <w:pStyle w:val="10"/>
        <w:numPr>
          <w:ilvl w:val="0"/>
          <w:numId w:val="3"/>
        </w:numPr>
        <w:ind w:firstLineChars="0"/>
        <w:rPr>
          <w:rFonts w:ascii="Times New Roman" w:hAnsi="Times New Roman" w:eastAsia="华文仿宋"/>
          <w:b/>
          <w:sz w:val="28"/>
        </w:rPr>
      </w:pPr>
      <w:r>
        <w:rPr>
          <w:rFonts w:hint="eastAsia" w:ascii="Times New Roman" w:hAnsi="Times New Roman" w:eastAsia="华文仿宋"/>
          <w:b/>
          <w:sz w:val="28"/>
        </w:rPr>
        <w:t>标准性质的建议说明</w:t>
      </w:r>
    </w:p>
    <w:p>
      <w:pPr>
        <w:spacing w:line="360" w:lineRule="auto"/>
        <w:ind w:firstLine="480" w:firstLineChars="200"/>
        <w:rPr>
          <w:color w:val="000000"/>
          <w:sz w:val="24"/>
        </w:rPr>
      </w:pPr>
      <w:r>
        <w:rPr>
          <w:rFonts w:hint="eastAsia"/>
          <w:color w:val="000000"/>
          <w:sz w:val="24"/>
        </w:rPr>
        <w:t>建议本标准的性质为推荐性行业标准。</w:t>
      </w:r>
    </w:p>
    <w:p>
      <w:pPr>
        <w:pStyle w:val="10"/>
        <w:numPr>
          <w:ilvl w:val="0"/>
          <w:numId w:val="3"/>
        </w:numPr>
        <w:ind w:firstLineChars="0"/>
        <w:rPr>
          <w:rFonts w:ascii="Times New Roman" w:hAnsi="Times New Roman" w:eastAsia="华文仿宋"/>
          <w:b/>
          <w:color w:val="000000" w:themeColor="text1"/>
          <w:sz w:val="28"/>
          <w14:textFill>
            <w14:solidFill>
              <w14:schemeClr w14:val="tx1"/>
            </w14:solidFill>
          </w14:textFill>
        </w:rPr>
      </w:pPr>
      <w:r>
        <w:rPr>
          <w:rFonts w:hint="eastAsia" w:ascii="Times New Roman" w:hAnsi="Times New Roman" w:eastAsia="华文仿宋"/>
          <w:b/>
          <w:sz w:val="28"/>
        </w:rPr>
        <w:t>贯</w:t>
      </w:r>
      <w:r>
        <w:rPr>
          <w:rFonts w:hint="eastAsia" w:ascii="Times New Roman" w:hAnsi="Times New Roman" w:eastAsia="华文仿宋"/>
          <w:b/>
          <w:color w:val="000000" w:themeColor="text1"/>
          <w:sz w:val="28"/>
          <w14:textFill>
            <w14:solidFill>
              <w14:schemeClr w14:val="tx1"/>
            </w14:solidFill>
          </w14:textFill>
        </w:rPr>
        <w:t>彻标准的要求和措施建议</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建议本标准批准发布6个月后实施。</w:t>
      </w:r>
    </w:p>
    <w:p>
      <w:pPr>
        <w:pStyle w:val="10"/>
        <w:numPr>
          <w:ilvl w:val="0"/>
          <w:numId w:val="3"/>
        </w:numPr>
        <w:ind w:firstLineChars="0"/>
        <w:rPr>
          <w:rFonts w:ascii="Times New Roman" w:hAnsi="Times New Roman" w:eastAsia="华文仿宋"/>
          <w:b/>
          <w:color w:val="000000" w:themeColor="text1"/>
          <w:sz w:val="28"/>
          <w14:textFill>
            <w14:solidFill>
              <w14:schemeClr w14:val="tx1"/>
            </w14:solidFill>
          </w14:textFill>
        </w:rPr>
      </w:pPr>
      <w:r>
        <w:rPr>
          <w:rFonts w:hint="eastAsia" w:ascii="Times New Roman" w:hAnsi="Times New Roman" w:eastAsia="华文仿宋"/>
          <w:b/>
          <w:color w:val="000000" w:themeColor="text1"/>
          <w:sz w:val="28"/>
          <w14:textFill>
            <w14:solidFill>
              <w14:schemeClr w14:val="tx1"/>
            </w14:solidFill>
          </w14:textFill>
        </w:rPr>
        <w:t>废止现行相关标准的建议</w:t>
      </w:r>
    </w:p>
    <w:p>
      <w:pPr>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无。</w:t>
      </w:r>
    </w:p>
    <w:p>
      <w:pPr>
        <w:pStyle w:val="10"/>
        <w:numPr>
          <w:ilvl w:val="0"/>
          <w:numId w:val="3"/>
        </w:numPr>
        <w:ind w:firstLineChars="0"/>
        <w:rPr>
          <w:rFonts w:ascii="Times New Roman" w:hAnsi="Times New Roman" w:eastAsia="华文仿宋"/>
          <w:b/>
          <w:color w:val="000000" w:themeColor="text1"/>
          <w:sz w:val="28"/>
          <w14:textFill>
            <w14:solidFill>
              <w14:schemeClr w14:val="tx1"/>
            </w14:solidFill>
          </w14:textFill>
        </w:rPr>
      </w:pPr>
      <w:r>
        <w:rPr>
          <w:rFonts w:hint="eastAsia" w:ascii="Times New Roman" w:hAnsi="Times New Roman" w:eastAsia="华文仿宋"/>
          <w:b/>
          <w:color w:val="000000" w:themeColor="text1"/>
          <w:sz w:val="28"/>
          <w14:textFill>
            <w14:solidFill>
              <w14:schemeClr w14:val="tx1"/>
            </w14:solidFill>
          </w14:textFill>
        </w:rPr>
        <w:t>其他应予说明的事项</w:t>
      </w:r>
    </w:p>
    <w:p>
      <w:pPr>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AdobeHeitiStd-Regular">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B08E0"/>
    <w:multiLevelType w:val="multilevel"/>
    <w:tmpl w:val="18FB08E0"/>
    <w:lvl w:ilvl="0" w:tentative="0">
      <w:start w:val="2"/>
      <w:numFmt w:val="decimal"/>
      <w:pStyle w:val="15"/>
      <w:lvlText w:val="%1"/>
      <w:lvlJc w:val="left"/>
      <w:pPr>
        <w:ind w:left="360" w:hanging="360"/>
      </w:pPr>
      <w:rPr>
        <w:rFonts w:hint="default"/>
      </w:rPr>
    </w:lvl>
    <w:lvl w:ilvl="1" w:tentative="0">
      <w:start w:val="2"/>
      <w:numFmt w:val="decimal"/>
      <w:pStyle w:val="16"/>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426" w:firstLine="0"/>
      </w:pPr>
      <w:rPr>
        <w:rFonts w:hint="eastAsia" w:ascii="黑体" w:hAnsi="Times New Roman" w:eastAsia="黑体" w:cs="Times New Roman"/>
        <w:b w:val="0"/>
        <w:bCs w:val="0"/>
        <w:i w:val="0"/>
        <w:iCs w:val="0"/>
        <w:caps w:val="0"/>
        <w:strike w:val="0"/>
        <w:dstrike w:val="0"/>
        <w:outline w:val="0"/>
        <w:shadow w:val="0"/>
        <w:emboss w:val="0"/>
        <w:imprint w:val="0"/>
        <w:vanish w:val="0"/>
        <w:color w:val="000000"/>
        <w:spacing w:val="0"/>
        <w:kern w:val="0"/>
        <w:position w:val="0"/>
        <w:sz w:val="21"/>
        <w:szCs w:val="21"/>
        <w:u w:val="none"/>
        <w:vertAlign w:val="baseline"/>
      </w:rPr>
    </w:lvl>
    <w:lvl w:ilvl="2" w:tentative="0">
      <w:start w:val="1"/>
      <w:numFmt w:val="decimal"/>
      <w:pStyle w:val="14"/>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142" w:firstLine="0"/>
      </w:pPr>
      <w:rPr>
        <w:rFonts w:hint="eastAsia" w:ascii="黑体" w:hAnsi="Times New Roman" w:eastAsia="黑体"/>
        <w:b w:val="0"/>
        <w:i w:val="0"/>
        <w:sz w:val="21"/>
      </w:rPr>
    </w:lvl>
    <w:lvl w:ilvl="4" w:tentative="0">
      <w:start w:val="1"/>
      <w:numFmt w:val="decimal"/>
      <w:suff w:val="nothing"/>
      <w:lvlText w:val="%1.%2.%3.%4.%5　"/>
      <w:lvlJc w:val="left"/>
      <w:pPr>
        <w:ind w:left="-142" w:firstLine="0"/>
      </w:pPr>
      <w:rPr>
        <w:rFonts w:hint="eastAsia" w:ascii="黑体" w:hAnsi="Times New Roman" w:eastAsia="黑体"/>
        <w:b w:val="0"/>
        <w:i w:val="0"/>
        <w:sz w:val="21"/>
      </w:rPr>
    </w:lvl>
    <w:lvl w:ilvl="5" w:tentative="0">
      <w:start w:val="1"/>
      <w:numFmt w:val="decimal"/>
      <w:suff w:val="nothing"/>
      <w:lvlText w:val="%1.%2.%3.%4.%5.%6　"/>
      <w:lvlJc w:val="left"/>
      <w:pPr>
        <w:ind w:left="-142" w:firstLine="0"/>
      </w:pPr>
      <w:rPr>
        <w:rFonts w:hint="eastAsia" w:ascii="黑体" w:hAnsi="Times New Roman" w:eastAsia="黑体"/>
        <w:b w:val="0"/>
        <w:i w:val="0"/>
        <w:sz w:val="21"/>
      </w:rPr>
    </w:lvl>
    <w:lvl w:ilvl="6" w:tentative="0">
      <w:start w:val="1"/>
      <w:numFmt w:val="decimal"/>
      <w:suff w:val="nothing"/>
      <w:lvlText w:val="%1%2.%3.%4.%5.%6.%7　"/>
      <w:lvlJc w:val="left"/>
      <w:pPr>
        <w:ind w:left="-142" w:firstLine="0"/>
      </w:pPr>
      <w:rPr>
        <w:rFonts w:hint="eastAsia" w:ascii="黑体" w:hAnsi="Times New Roman" w:eastAsia="黑体"/>
        <w:b w:val="0"/>
        <w:i w:val="0"/>
        <w:sz w:val="21"/>
      </w:rPr>
    </w:lvl>
    <w:lvl w:ilvl="7" w:tentative="0">
      <w:start w:val="1"/>
      <w:numFmt w:val="decimal"/>
      <w:lvlText w:val="%1.%2.%3.%4.%5.%6.%7.%8"/>
      <w:lvlJc w:val="left"/>
      <w:pPr>
        <w:tabs>
          <w:tab w:val="left" w:pos="4209"/>
        </w:tabs>
        <w:ind w:left="3827" w:hanging="1418"/>
      </w:pPr>
      <w:rPr>
        <w:rFonts w:hint="eastAsia"/>
      </w:rPr>
    </w:lvl>
    <w:lvl w:ilvl="8" w:tentative="0">
      <w:start w:val="1"/>
      <w:numFmt w:val="decimal"/>
      <w:lvlText w:val="%1.%2.%3.%4.%5.%6.%7.%8.%9"/>
      <w:lvlJc w:val="left"/>
      <w:pPr>
        <w:tabs>
          <w:tab w:val="left" w:pos="4635"/>
        </w:tabs>
        <w:ind w:left="4535" w:hanging="1700"/>
      </w:pPr>
      <w:rPr>
        <w:rFonts w:hint="eastAsia"/>
      </w:rPr>
    </w:lvl>
  </w:abstractNum>
  <w:abstractNum w:abstractNumId="2">
    <w:nsid w:val="5CFD19AE"/>
    <w:multiLevelType w:val="multilevel"/>
    <w:tmpl w:val="5CFD19A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E645EA8"/>
    <w:multiLevelType w:val="multilevel"/>
    <w:tmpl w:val="5E645EA8"/>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F3E5FCC"/>
    <w:multiLevelType w:val="multilevel"/>
    <w:tmpl w:val="6F3E5FC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05"/>
    <w:rsid w:val="00001BBE"/>
    <w:rsid w:val="00007204"/>
    <w:rsid w:val="0001672A"/>
    <w:rsid w:val="00016F7E"/>
    <w:rsid w:val="00022266"/>
    <w:rsid w:val="000309B4"/>
    <w:rsid w:val="00065A40"/>
    <w:rsid w:val="000670A0"/>
    <w:rsid w:val="000A02BE"/>
    <w:rsid w:val="000A2DC4"/>
    <w:rsid w:val="000D3065"/>
    <w:rsid w:val="001029E7"/>
    <w:rsid w:val="00131D18"/>
    <w:rsid w:val="001B1078"/>
    <w:rsid w:val="001C5EFB"/>
    <w:rsid w:val="001F59B3"/>
    <w:rsid w:val="001F7DE8"/>
    <w:rsid w:val="00202712"/>
    <w:rsid w:val="0022465A"/>
    <w:rsid w:val="00226479"/>
    <w:rsid w:val="00264C67"/>
    <w:rsid w:val="00265CE7"/>
    <w:rsid w:val="002831EC"/>
    <w:rsid w:val="00284C6E"/>
    <w:rsid w:val="002B2459"/>
    <w:rsid w:val="00351899"/>
    <w:rsid w:val="00370AF4"/>
    <w:rsid w:val="003924AF"/>
    <w:rsid w:val="003B5BD0"/>
    <w:rsid w:val="003D5A9E"/>
    <w:rsid w:val="003D5F2B"/>
    <w:rsid w:val="003E4A6F"/>
    <w:rsid w:val="00424A71"/>
    <w:rsid w:val="00436EA0"/>
    <w:rsid w:val="00490BB1"/>
    <w:rsid w:val="004D7ED0"/>
    <w:rsid w:val="00504259"/>
    <w:rsid w:val="00504491"/>
    <w:rsid w:val="00506DED"/>
    <w:rsid w:val="00515996"/>
    <w:rsid w:val="00596439"/>
    <w:rsid w:val="005A62E4"/>
    <w:rsid w:val="005B419F"/>
    <w:rsid w:val="005C4B55"/>
    <w:rsid w:val="005C72CD"/>
    <w:rsid w:val="005D7EA2"/>
    <w:rsid w:val="005E65EF"/>
    <w:rsid w:val="006015C4"/>
    <w:rsid w:val="00607D45"/>
    <w:rsid w:val="00635D55"/>
    <w:rsid w:val="00682BF8"/>
    <w:rsid w:val="006862D8"/>
    <w:rsid w:val="0069376A"/>
    <w:rsid w:val="006D7E12"/>
    <w:rsid w:val="006E6173"/>
    <w:rsid w:val="007375D8"/>
    <w:rsid w:val="007C0856"/>
    <w:rsid w:val="007D6752"/>
    <w:rsid w:val="0080371A"/>
    <w:rsid w:val="00804210"/>
    <w:rsid w:val="00836629"/>
    <w:rsid w:val="00860288"/>
    <w:rsid w:val="00874238"/>
    <w:rsid w:val="008A4749"/>
    <w:rsid w:val="008C0487"/>
    <w:rsid w:val="008C6605"/>
    <w:rsid w:val="008E58C1"/>
    <w:rsid w:val="008E6B46"/>
    <w:rsid w:val="008E6C18"/>
    <w:rsid w:val="008F0CD0"/>
    <w:rsid w:val="00961B75"/>
    <w:rsid w:val="00973EB1"/>
    <w:rsid w:val="00997EA2"/>
    <w:rsid w:val="009A2CE9"/>
    <w:rsid w:val="009B1311"/>
    <w:rsid w:val="00A1764C"/>
    <w:rsid w:val="00A212C9"/>
    <w:rsid w:val="00A6118B"/>
    <w:rsid w:val="00A9005E"/>
    <w:rsid w:val="00AA59B7"/>
    <w:rsid w:val="00AD01D4"/>
    <w:rsid w:val="00AE0745"/>
    <w:rsid w:val="00AE5C5E"/>
    <w:rsid w:val="00AE7F29"/>
    <w:rsid w:val="00AF6CAF"/>
    <w:rsid w:val="00B64F71"/>
    <w:rsid w:val="00B83AB6"/>
    <w:rsid w:val="00BC7B81"/>
    <w:rsid w:val="00BD2690"/>
    <w:rsid w:val="00BE4F59"/>
    <w:rsid w:val="00BE66F9"/>
    <w:rsid w:val="00BF5C47"/>
    <w:rsid w:val="00C30A5E"/>
    <w:rsid w:val="00C419E1"/>
    <w:rsid w:val="00C602F8"/>
    <w:rsid w:val="00C65083"/>
    <w:rsid w:val="00C74DD0"/>
    <w:rsid w:val="00C85AA0"/>
    <w:rsid w:val="00C90858"/>
    <w:rsid w:val="00C90F76"/>
    <w:rsid w:val="00CB027B"/>
    <w:rsid w:val="00CB530D"/>
    <w:rsid w:val="00CE23D2"/>
    <w:rsid w:val="00D31B1A"/>
    <w:rsid w:val="00D427CF"/>
    <w:rsid w:val="00D46115"/>
    <w:rsid w:val="00D52473"/>
    <w:rsid w:val="00D56FC5"/>
    <w:rsid w:val="00D834F2"/>
    <w:rsid w:val="00DD2EC3"/>
    <w:rsid w:val="00DF6D70"/>
    <w:rsid w:val="00E23181"/>
    <w:rsid w:val="00E3628E"/>
    <w:rsid w:val="00E36442"/>
    <w:rsid w:val="00E43745"/>
    <w:rsid w:val="00E67E2D"/>
    <w:rsid w:val="00E7639F"/>
    <w:rsid w:val="00EC02D9"/>
    <w:rsid w:val="00EE2EF0"/>
    <w:rsid w:val="00F21068"/>
    <w:rsid w:val="00F249AF"/>
    <w:rsid w:val="00F353D0"/>
    <w:rsid w:val="00F41A3F"/>
    <w:rsid w:val="00F44D7A"/>
    <w:rsid w:val="00F61A6A"/>
    <w:rsid w:val="00F70E01"/>
    <w:rsid w:val="00F966ED"/>
    <w:rsid w:val="00FB1DCF"/>
    <w:rsid w:val="00FB2BF5"/>
    <w:rsid w:val="00FC49FA"/>
    <w:rsid w:val="00FD04AF"/>
    <w:rsid w:val="00FD3745"/>
    <w:rsid w:val="00FE38DC"/>
    <w:rsid w:val="00FE4671"/>
    <w:rsid w:val="13D65864"/>
    <w:rsid w:val="1C59229C"/>
    <w:rsid w:val="1F9579AB"/>
    <w:rsid w:val="278163EE"/>
    <w:rsid w:val="451232E0"/>
    <w:rsid w:val="4F4A00AE"/>
    <w:rsid w:val="4F7E3F8E"/>
    <w:rsid w:val="6E0A48DA"/>
    <w:rsid w:val="7F0F2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7">
    <w:name w:val="列出段落1"/>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unhideWhenUsed/>
    <w:qFormat/>
    <w:uiPriority w:val="99"/>
    <w:pPr>
      <w:ind w:firstLine="420" w:firstLineChars="200"/>
    </w:pPr>
  </w:style>
  <w:style w:type="character" w:customStyle="1" w:styleId="11">
    <w:name w:val="段 Char"/>
    <w:link w:val="12"/>
    <w:qFormat/>
    <w:uiPriority w:val="0"/>
    <w:rPr>
      <w:rFonts w:ascii="宋体"/>
      <w:sz w:val="21"/>
    </w:rPr>
  </w:style>
  <w:style w:type="paragraph" w:customStyle="1" w:styleId="12">
    <w:name w:val="段"/>
    <w:link w:val="1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
    <w:name w:val="三级条标题"/>
    <w:basedOn w:val="14"/>
    <w:next w:val="12"/>
    <w:qFormat/>
    <w:uiPriority w:val="0"/>
    <w:pPr>
      <w:numPr>
        <w:ilvl w:val="0"/>
        <w:numId w:val="0"/>
      </w:numPr>
      <w:outlineLvl w:val="4"/>
    </w:pPr>
  </w:style>
  <w:style w:type="paragraph" w:customStyle="1" w:styleId="14">
    <w:name w:val="二级条标题"/>
    <w:basedOn w:val="1"/>
    <w:next w:val="12"/>
    <w:qFormat/>
    <w:uiPriority w:val="0"/>
    <w:pPr>
      <w:widowControl/>
      <w:numPr>
        <w:ilvl w:val="2"/>
        <w:numId w:val="1"/>
      </w:numPr>
      <w:spacing w:before="50" w:beforeLines="50" w:after="50" w:afterLines="50"/>
      <w:jc w:val="left"/>
      <w:outlineLvl w:val="3"/>
    </w:pPr>
    <w:rPr>
      <w:rFonts w:ascii="黑体" w:hAnsi="Times New Roman" w:eastAsia="黑体"/>
      <w:kern w:val="0"/>
      <w:szCs w:val="21"/>
    </w:rPr>
  </w:style>
  <w:style w:type="paragraph" w:customStyle="1" w:styleId="15">
    <w:name w:val="章标题"/>
    <w:next w:val="12"/>
    <w:qFormat/>
    <w:uiPriority w:val="0"/>
    <w:pPr>
      <w:numPr>
        <w:ilvl w:val="0"/>
        <w:numId w:val="2"/>
      </w:numPr>
      <w:spacing w:before="312" w:beforeLines="100" w:after="312" w:afterLines="100"/>
      <w:ind w:left="0" w:firstLine="0"/>
      <w:jc w:val="both"/>
      <w:outlineLvl w:val="1"/>
    </w:pPr>
    <w:rPr>
      <w:rFonts w:ascii="黑体" w:hAnsi="Times New Roman" w:eastAsia="黑体" w:cs="Times New Roman"/>
      <w:sz w:val="21"/>
      <w:lang w:val="en-US" w:eastAsia="zh-CN" w:bidi="ar-SA"/>
    </w:rPr>
  </w:style>
  <w:style w:type="paragraph" w:customStyle="1" w:styleId="16">
    <w:name w:val="一级条标题"/>
    <w:next w:val="12"/>
    <w:qFormat/>
    <w:uiPriority w:val="99"/>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752</Words>
  <Characters>4293</Characters>
  <Lines>35</Lines>
  <Paragraphs>10</Paragraphs>
  <TotalTime>0</TotalTime>
  <ScaleCrop>false</ScaleCrop>
  <LinksUpToDate>false</LinksUpToDate>
  <CharactersWithSpaces>5035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2020-12-23T05:36:00Z</dcterms:created>
  <dc:creator>qk</dc:creator>
  <cp:lastModifiedBy>共享账号请勿修改密码</cp:lastModifiedBy>
  <dcterms:modified xsi:type="dcterms:W3CDTF">2021-09-14T05:40:36Z</dcterms:modified>
  <dc:title>《罐头食品金属容器用易撕盖》标准制定工作方案</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777FB291253F4D3F9B013A5F1B96C0C7</vt:lpwstr>
  </property>
</Properties>
</file>